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EC4F" w14:textId="007C94F6" w:rsidR="00C11583" w:rsidRPr="00C11583" w:rsidRDefault="00C11583" w:rsidP="00C11583">
      <w:pPr>
        <w:jc w:val="center"/>
        <w:rPr>
          <w:b/>
          <w:bCs/>
          <w:sz w:val="28"/>
        </w:rPr>
      </w:pPr>
      <w:r w:rsidRPr="00C11583">
        <w:rPr>
          <w:b/>
          <w:bCs/>
          <w:sz w:val="28"/>
        </w:rPr>
        <w:t xml:space="preserve">MRV AAPM </w:t>
      </w:r>
      <w:r>
        <w:rPr>
          <w:b/>
          <w:bCs/>
          <w:sz w:val="28"/>
        </w:rPr>
        <w:t xml:space="preserve">2021 Spring Chapter Meeting </w:t>
      </w:r>
      <w:r w:rsidRPr="00C11583">
        <w:rPr>
          <w:b/>
          <w:bCs/>
          <w:sz w:val="28"/>
        </w:rPr>
        <w:t>SAMs Questions</w:t>
      </w:r>
    </w:p>
    <w:p w14:paraId="23162FB8" w14:textId="3C870A67" w:rsidR="00F26010" w:rsidRPr="003A6FC6" w:rsidRDefault="00F26010" w:rsidP="00E365F4">
      <w:pPr>
        <w:rPr>
          <w:b/>
          <w:bCs/>
        </w:rPr>
      </w:pPr>
      <w:r w:rsidRPr="003A6FC6">
        <w:rPr>
          <w:b/>
          <w:bCs/>
        </w:rPr>
        <w:t xml:space="preserve"> “AI-based Radiotherapy QA” by Maria F. Chan, PhD, FAAPM</w:t>
      </w:r>
    </w:p>
    <w:p w14:paraId="25315B6B" w14:textId="77777777" w:rsidR="00F26010" w:rsidRDefault="00F26010" w:rsidP="00F26010">
      <w:pPr>
        <w:pStyle w:val="ListParagraph"/>
        <w:ind w:left="1080"/>
        <w:rPr>
          <w:color w:val="000000" w:themeColor="text1"/>
          <w:highlight w:val="yellow"/>
        </w:rPr>
      </w:pPr>
    </w:p>
    <w:p w14:paraId="718CECD6" w14:textId="77777777" w:rsidR="00F26010" w:rsidRDefault="00F26010" w:rsidP="00F26010">
      <w:pPr>
        <w:pStyle w:val="ListParagraph"/>
        <w:numPr>
          <w:ilvl w:val="0"/>
          <w:numId w:val="1"/>
        </w:numPr>
      </w:pPr>
      <w:r>
        <w:t>What are the two major types of learning in Machine Learning:</w:t>
      </w:r>
    </w:p>
    <w:p w14:paraId="4666CD32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 </w:t>
      </w:r>
      <w:r>
        <w:rPr>
          <w:rFonts w:cs="Arial"/>
          <w:color w:val="000000"/>
        </w:rPr>
        <w:t>Transfer learning and statistical learning</w:t>
      </w:r>
    </w:p>
    <w:p w14:paraId="70DACFF4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rFonts w:cs="Arial"/>
          <w:color w:val="000000"/>
        </w:rPr>
        <w:t>Regression and classification</w:t>
      </w:r>
      <w:r>
        <w:rPr>
          <w:color w:val="000000" w:themeColor="text1"/>
        </w:rPr>
        <w:tab/>
      </w:r>
    </w:p>
    <w:p w14:paraId="1568A6D9" w14:textId="77777777" w:rsidR="00F26010" w:rsidRPr="00D61B83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61B83">
        <w:rPr>
          <w:rFonts w:cs="Arial"/>
          <w:color w:val="000000"/>
        </w:rPr>
        <w:t>Supervised learning and unsupervised learning</w:t>
      </w:r>
    </w:p>
    <w:p w14:paraId="6AD59930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rFonts w:cs="Arial"/>
          <w:color w:val="000000"/>
        </w:rPr>
        <w:t>Python and R codes</w:t>
      </w:r>
      <w:r>
        <w:rPr>
          <w:color w:val="000000" w:themeColor="text1"/>
        </w:rPr>
        <w:tab/>
      </w:r>
    </w:p>
    <w:p w14:paraId="638845FB" w14:textId="3F04AFA3" w:rsidR="00F26010" w:rsidRDefault="00F26010" w:rsidP="00F26010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cs="Arial"/>
          <w:i/>
          <w:iCs/>
        </w:rPr>
      </w:pPr>
      <w:r w:rsidRPr="000E5801">
        <w:rPr>
          <w:rFonts w:cs="Arial"/>
          <w:i/>
          <w:iCs/>
          <w:spacing w:val="-1"/>
        </w:rPr>
        <w:t>R</w:t>
      </w:r>
      <w:r w:rsidRPr="000E5801">
        <w:rPr>
          <w:rFonts w:cs="Arial"/>
          <w:i/>
          <w:iCs/>
        </w:rPr>
        <w:t>e</w:t>
      </w:r>
      <w:r w:rsidRPr="000E5801">
        <w:rPr>
          <w:rFonts w:cs="Arial"/>
          <w:i/>
          <w:iCs/>
          <w:spacing w:val="1"/>
        </w:rPr>
        <w:t>f</w:t>
      </w:r>
      <w:r w:rsidRPr="000E5801">
        <w:rPr>
          <w:rFonts w:cs="Arial"/>
          <w:i/>
          <w:iCs/>
        </w:rPr>
        <w:t xml:space="preserve">: Shai </w:t>
      </w:r>
      <w:proofErr w:type="spellStart"/>
      <w:r w:rsidRPr="000E5801">
        <w:rPr>
          <w:rFonts w:cs="Arial"/>
          <w:i/>
          <w:iCs/>
        </w:rPr>
        <w:t>Shalev-Shwartz</w:t>
      </w:r>
      <w:proofErr w:type="spellEnd"/>
      <w:r w:rsidRPr="000E5801">
        <w:rPr>
          <w:rFonts w:cs="Arial"/>
          <w:i/>
          <w:iCs/>
        </w:rPr>
        <w:t xml:space="preserve"> and Shai Ben-David (Ed). (2014) Understanding machine learning: From theory to algorithms. New York, NY, USA: Publisher Cambridge University Press. ISBN: 978-1-107-05713-5.</w:t>
      </w:r>
    </w:p>
    <w:p w14:paraId="31D2C526" w14:textId="77777777" w:rsidR="000E5801" w:rsidRPr="000E5801" w:rsidRDefault="000E5801" w:rsidP="00F26010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cs="Arial"/>
          <w:i/>
          <w:iCs/>
        </w:rPr>
      </w:pPr>
    </w:p>
    <w:p w14:paraId="7DF192F5" w14:textId="77777777" w:rsidR="00F26010" w:rsidRDefault="00F26010" w:rsidP="00F2601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Which of the followings is </w:t>
      </w:r>
      <w:r>
        <w:rPr>
          <w:color w:val="000000" w:themeColor="text1"/>
          <w:u w:val="single"/>
        </w:rPr>
        <w:t>not</w:t>
      </w:r>
      <w:r>
        <w:rPr>
          <w:color w:val="000000" w:themeColor="text1"/>
        </w:rPr>
        <w:t xml:space="preserve"> a machine learning algorithm?</w:t>
      </w:r>
    </w:p>
    <w:p w14:paraId="379FCCF9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Radom Forest (RF)</w:t>
      </w:r>
    </w:p>
    <w:p w14:paraId="08872BA0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Support Vector Machines (SVM)</w:t>
      </w:r>
    </w:p>
    <w:p w14:paraId="44A15152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Convolutional Neural Network (CNN) </w:t>
      </w:r>
    </w:p>
    <w:p w14:paraId="6712B05E" w14:textId="132CBC07" w:rsidR="000E5801" w:rsidRPr="00D61B83" w:rsidRDefault="00F26010" w:rsidP="00E01150">
      <w:pPr>
        <w:pStyle w:val="ListParagraph"/>
        <w:numPr>
          <w:ilvl w:val="1"/>
          <w:numId w:val="1"/>
        </w:numPr>
      </w:pPr>
      <w:r w:rsidRPr="00D61B83">
        <w:rPr>
          <w:bCs/>
        </w:rPr>
        <w:t>Autoregressive moving average (ARMA)</w:t>
      </w:r>
    </w:p>
    <w:p w14:paraId="6C1686B8" w14:textId="36361FE0" w:rsidR="00D61B83" w:rsidRDefault="00D61B83" w:rsidP="00D61B83">
      <w:pPr>
        <w:pStyle w:val="ListParagraph"/>
        <w:ind w:left="1080"/>
      </w:pPr>
    </w:p>
    <w:p w14:paraId="5571AB37" w14:textId="77777777" w:rsidR="00E01150" w:rsidRPr="00D61B83" w:rsidRDefault="00E01150" w:rsidP="00D61B83">
      <w:pPr>
        <w:pStyle w:val="ListParagraph"/>
        <w:ind w:left="1080"/>
      </w:pPr>
    </w:p>
    <w:p w14:paraId="5BE1C761" w14:textId="77777777" w:rsidR="00F26010" w:rsidRDefault="00F26010" w:rsidP="00F2601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cs="Arial"/>
          <w:color w:val="000000"/>
          <w:spacing w:val="2"/>
        </w:rPr>
        <w:t>Which is not a part in the process of patient-specific QA using machine learning</w:t>
      </w:r>
      <w:r>
        <w:rPr>
          <w:color w:val="000000" w:themeColor="text1"/>
        </w:rPr>
        <w:t>?</w:t>
      </w:r>
    </w:p>
    <w:p w14:paraId="7FAACEAB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rFonts w:cs="Arial"/>
          <w:color w:val="000000"/>
        </w:rPr>
        <w:t>Extracting features using scripts to read IMRT beams from TPS database</w:t>
      </w:r>
    </w:p>
    <w:p w14:paraId="56C76EAE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rFonts w:cs="Arial"/>
          <w:color w:val="000000"/>
        </w:rPr>
        <w:t>Building models by calculating all plan complexity metrics affecting passing rate</w:t>
      </w:r>
    </w:p>
    <w:p w14:paraId="3BEDED17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rFonts w:cs="Arial"/>
          <w:color w:val="000000"/>
        </w:rPr>
        <w:t>Collecting IMRT QA data for building and re-training virtual QA models</w:t>
      </w:r>
      <w:r>
        <w:rPr>
          <w:color w:val="000000" w:themeColor="text1"/>
        </w:rPr>
        <w:tab/>
      </w:r>
    </w:p>
    <w:p w14:paraId="31AD6A11" w14:textId="77777777" w:rsidR="00F26010" w:rsidRPr="00D61B83" w:rsidRDefault="00F26010" w:rsidP="00F26010">
      <w:pPr>
        <w:pStyle w:val="ListParagraph"/>
        <w:widowControl w:val="0"/>
        <w:numPr>
          <w:ilvl w:val="1"/>
          <w:numId w:val="1"/>
        </w:numPr>
        <w:tabs>
          <w:tab w:val="left" w:pos="1520"/>
        </w:tabs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D61B83">
        <w:rPr>
          <w:rFonts w:cs="Arial"/>
          <w:color w:val="000000"/>
        </w:rPr>
        <w:t>Measuring treatment machine outputs</w:t>
      </w:r>
    </w:p>
    <w:p w14:paraId="5C35A2C1" w14:textId="77777777" w:rsidR="00F26010" w:rsidRDefault="00F26010" w:rsidP="00F26010">
      <w:pPr>
        <w:pStyle w:val="ListParagraph"/>
        <w:widowControl w:val="0"/>
        <w:autoSpaceDE w:val="0"/>
        <w:autoSpaceDN w:val="0"/>
        <w:adjustRightInd w:val="0"/>
        <w:ind w:hanging="360"/>
        <w:rPr>
          <w:rFonts w:cs="Arial"/>
          <w:color w:val="000000"/>
        </w:rPr>
      </w:pPr>
    </w:p>
    <w:p w14:paraId="10B1B982" w14:textId="77777777" w:rsidR="00F26010" w:rsidRPr="000E5801" w:rsidRDefault="00F26010" w:rsidP="00F2601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360"/>
        <w:rPr>
          <w:rStyle w:val="Hyperlink"/>
          <w:rFonts w:cs="Arial"/>
          <w:bCs/>
          <w:i/>
          <w:iCs/>
          <w:color w:val="4472C4" w:themeColor="accent1"/>
          <w:shd w:val="clear" w:color="auto" w:fill="FFFFFF"/>
        </w:rPr>
      </w:pPr>
      <w:r w:rsidRPr="000E5801">
        <w:rPr>
          <w:rFonts w:cs="Arial"/>
          <w:i/>
          <w:iCs/>
          <w:color w:val="000000"/>
          <w:spacing w:val="-1"/>
        </w:rPr>
        <w:t>R</w:t>
      </w:r>
      <w:r w:rsidRPr="000E5801">
        <w:rPr>
          <w:rFonts w:cs="Arial"/>
          <w:i/>
          <w:iCs/>
          <w:color w:val="000000"/>
        </w:rPr>
        <w:t>e</w:t>
      </w:r>
      <w:r w:rsidRPr="000E5801">
        <w:rPr>
          <w:rFonts w:cs="Arial"/>
          <w:i/>
          <w:iCs/>
          <w:color w:val="000000"/>
          <w:spacing w:val="1"/>
        </w:rPr>
        <w:t>f</w:t>
      </w:r>
      <w:r w:rsidRPr="000E5801">
        <w:rPr>
          <w:rFonts w:cs="Arial"/>
          <w:i/>
          <w:iCs/>
          <w:color w:val="000000"/>
        </w:rPr>
        <w:t xml:space="preserve">: </w:t>
      </w:r>
      <w:r w:rsidRPr="000E5801">
        <w:rPr>
          <w:rFonts w:cs="Arial"/>
          <w:i/>
          <w:iCs/>
          <w:color w:val="000000"/>
          <w:spacing w:val="26"/>
        </w:rPr>
        <w:t xml:space="preserve"> </w:t>
      </w:r>
      <w:r w:rsidRPr="000E5801">
        <w:rPr>
          <w:rFonts w:cs="Arial"/>
          <w:i/>
          <w:iCs/>
          <w:color w:val="000000"/>
        </w:rPr>
        <w:t xml:space="preserve">G Valdes, R Scheuermann, CY Hung, A </w:t>
      </w:r>
      <w:proofErr w:type="spellStart"/>
      <w:r w:rsidRPr="000E5801">
        <w:rPr>
          <w:rFonts w:cs="Arial"/>
          <w:i/>
          <w:iCs/>
          <w:color w:val="000000"/>
        </w:rPr>
        <w:t>Olszanski</w:t>
      </w:r>
      <w:proofErr w:type="spellEnd"/>
      <w:r w:rsidRPr="000E5801">
        <w:rPr>
          <w:rFonts w:cs="Arial"/>
          <w:i/>
          <w:iCs/>
          <w:color w:val="000000"/>
        </w:rPr>
        <w:t xml:space="preserve">, M </w:t>
      </w:r>
      <w:proofErr w:type="spellStart"/>
      <w:r w:rsidRPr="000E5801">
        <w:rPr>
          <w:rFonts w:cs="Arial"/>
          <w:i/>
          <w:iCs/>
          <w:color w:val="000000"/>
        </w:rPr>
        <w:t>Bellerive</w:t>
      </w:r>
      <w:proofErr w:type="spellEnd"/>
      <w:r w:rsidRPr="000E5801">
        <w:rPr>
          <w:rFonts w:cs="Arial"/>
          <w:i/>
          <w:iCs/>
          <w:color w:val="000000"/>
        </w:rPr>
        <w:t>, TD Solberg, “A mathematical framework for virtual IMRT QA using machine learning”,</w:t>
      </w:r>
      <w:r w:rsidRPr="000E5801">
        <w:rPr>
          <w:rFonts w:cs="Arial"/>
          <w:i/>
          <w:iCs/>
        </w:rPr>
        <w:t xml:space="preserve"> Medical Physics, 2016; 43(7):4323-4334. </w:t>
      </w:r>
      <w:hyperlink r:id="rId5" w:history="1">
        <w:r w:rsidRPr="000E5801">
          <w:rPr>
            <w:rStyle w:val="Hyperlink"/>
            <w:rFonts w:cs="Arial"/>
            <w:bCs/>
            <w:i/>
            <w:iCs/>
            <w:color w:val="4472C4" w:themeColor="accent1"/>
            <w:shd w:val="clear" w:color="auto" w:fill="FFFFFF"/>
          </w:rPr>
          <w:t>doi.org/10.1118/</w:t>
        </w:r>
      </w:hyperlink>
      <w:r w:rsidRPr="000E5801">
        <w:rPr>
          <w:rStyle w:val="Hyperlink"/>
          <w:rFonts w:cs="Arial"/>
          <w:bCs/>
          <w:i/>
          <w:iCs/>
          <w:color w:val="4472C4" w:themeColor="accent1"/>
          <w:shd w:val="clear" w:color="auto" w:fill="FFFFFF"/>
        </w:rPr>
        <w:t>1.4953835</w:t>
      </w:r>
    </w:p>
    <w:p w14:paraId="0D265937" w14:textId="53050573" w:rsidR="00F26010" w:rsidRDefault="00F26010" w:rsidP="00F2601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360"/>
        <w:rPr>
          <w:rFonts w:cs="Arial"/>
        </w:rPr>
      </w:pPr>
    </w:p>
    <w:p w14:paraId="02AEFDEC" w14:textId="77777777" w:rsidR="000E5801" w:rsidRDefault="000E5801" w:rsidP="00F2601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360"/>
        <w:rPr>
          <w:rFonts w:cs="Arial"/>
        </w:rPr>
      </w:pPr>
    </w:p>
    <w:p w14:paraId="1339542C" w14:textId="77777777" w:rsidR="00F26010" w:rsidRDefault="00F26010" w:rsidP="00F2601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Which</w:t>
      </w:r>
      <w:r>
        <w:rPr>
          <w:rFonts w:cs="Arial"/>
          <w:color w:val="000000"/>
          <w:spacing w:val="2"/>
        </w:rPr>
        <w:t xml:space="preserve"> of the following statement on Virtual IMRT QA is not true?</w:t>
      </w:r>
    </w:p>
    <w:p w14:paraId="195ED083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Different TPS dose calculation model needs a different virtual IMRT QA model</w:t>
      </w:r>
    </w:p>
    <w:p w14:paraId="6571F1BA" w14:textId="77777777" w:rsidR="00F26010" w:rsidRPr="00D61B83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61B83">
        <w:rPr>
          <w:color w:val="000000" w:themeColor="text1"/>
        </w:rPr>
        <w:t>Virtual IMRT QA is disease-site dependent</w:t>
      </w:r>
    </w:p>
    <w:p w14:paraId="5F5358FD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Virtual IMRT QA can accurately predict passing rate for any plan</w:t>
      </w:r>
    </w:p>
    <w:p w14:paraId="1B89DBBF" w14:textId="77777777" w:rsidR="00F26010" w:rsidRDefault="00F26010" w:rsidP="00F2601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>Virtual IMRT QA model needs to be refined for different detectors and energies</w:t>
      </w:r>
    </w:p>
    <w:p w14:paraId="3A15ACEF" w14:textId="77777777" w:rsidR="00F26010" w:rsidRDefault="00F26010" w:rsidP="00F26010">
      <w:pPr>
        <w:pStyle w:val="ListParagraph"/>
        <w:widowControl w:val="0"/>
        <w:autoSpaceDE w:val="0"/>
        <w:autoSpaceDN w:val="0"/>
        <w:adjustRightInd w:val="0"/>
        <w:spacing w:before="11" w:line="240" w:lineRule="exact"/>
        <w:ind w:left="360"/>
        <w:rPr>
          <w:rFonts w:cs="Arial"/>
        </w:rPr>
      </w:pPr>
    </w:p>
    <w:p w14:paraId="6C981102" w14:textId="77777777" w:rsidR="00F26010" w:rsidRPr="000E5801" w:rsidRDefault="00F26010" w:rsidP="00F2601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Style w:val="Hyperlink"/>
          <w:bCs/>
          <w:i/>
          <w:iCs/>
          <w:color w:val="4472C4" w:themeColor="accent1"/>
          <w:shd w:val="clear" w:color="auto" w:fill="FFFFFF"/>
        </w:rPr>
      </w:pPr>
      <w:r w:rsidRPr="000E5801">
        <w:rPr>
          <w:rFonts w:cs="Arial"/>
          <w:i/>
          <w:iCs/>
          <w:color w:val="000000"/>
          <w:spacing w:val="-1"/>
        </w:rPr>
        <w:t>R</w:t>
      </w:r>
      <w:r w:rsidRPr="000E5801">
        <w:rPr>
          <w:rFonts w:cs="Arial"/>
          <w:i/>
          <w:iCs/>
          <w:color w:val="000000"/>
        </w:rPr>
        <w:t>e</w:t>
      </w:r>
      <w:r w:rsidRPr="000E5801">
        <w:rPr>
          <w:rFonts w:cs="Arial"/>
          <w:i/>
          <w:iCs/>
          <w:color w:val="000000"/>
          <w:spacing w:val="1"/>
        </w:rPr>
        <w:t>f</w:t>
      </w:r>
      <w:r w:rsidRPr="000E5801">
        <w:rPr>
          <w:rFonts w:cs="Arial"/>
          <w:i/>
          <w:iCs/>
          <w:color w:val="000000"/>
        </w:rPr>
        <w:t xml:space="preserve">: </w:t>
      </w:r>
      <w:r w:rsidRPr="000E5801">
        <w:rPr>
          <w:rFonts w:cs="Arial"/>
          <w:i/>
          <w:iCs/>
          <w:color w:val="000000"/>
          <w:spacing w:val="26"/>
        </w:rPr>
        <w:t xml:space="preserve"> </w:t>
      </w:r>
      <w:r w:rsidRPr="000E5801">
        <w:rPr>
          <w:rFonts w:cs="Arial"/>
          <w:i/>
          <w:iCs/>
        </w:rPr>
        <w:t xml:space="preserve">G Valdes, MF Chan, SB Lim, R </w:t>
      </w:r>
      <w:proofErr w:type="spellStart"/>
      <w:r w:rsidRPr="000E5801">
        <w:rPr>
          <w:rFonts w:cs="Arial"/>
          <w:i/>
          <w:iCs/>
        </w:rPr>
        <w:t>Scheuermann</w:t>
      </w:r>
      <w:proofErr w:type="spellEnd"/>
      <w:r w:rsidRPr="000E5801">
        <w:rPr>
          <w:rFonts w:cs="Arial"/>
          <w:i/>
          <w:iCs/>
        </w:rPr>
        <w:t xml:space="preserve">, JO </w:t>
      </w:r>
      <w:proofErr w:type="spellStart"/>
      <w:r w:rsidRPr="000E5801">
        <w:rPr>
          <w:rFonts w:cs="Arial"/>
          <w:i/>
          <w:iCs/>
        </w:rPr>
        <w:t>Deasy</w:t>
      </w:r>
      <w:proofErr w:type="spellEnd"/>
      <w:r w:rsidRPr="000E5801">
        <w:rPr>
          <w:rFonts w:cs="Arial"/>
          <w:i/>
          <w:iCs/>
        </w:rPr>
        <w:t xml:space="preserve">, and TD Solberg, “IMRT QA using machine learning: A multi-institutional validation”, Journal of Applied Clinical Medical Physics, 2017; 18:5:279-284. </w:t>
      </w:r>
      <w:hyperlink r:id="rId6" w:history="1">
        <w:r w:rsidRPr="000E5801">
          <w:rPr>
            <w:rStyle w:val="Hyperlink"/>
            <w:rFonts w:cs="Arial"/>
            <w:bCs/>
            <w:i/>
            <w:iCs/>
            <w:color w:val="4472C4" w:themeColor="accent1"/>
            <w:shd w:val="clear" w:color="auto" w:fill="FFFFFF"/>
          </w:rPr>
          <w:t>doi.org/10.1002/acm2.12161</w:t>
        </w:r>
      </w:hyperlink>
    </w:p>
    <w:p w14:paraId="5825F060" w14:textId="466B415D" w:rsidR="00D61B83" w:rsidRDefault="00D61B83" w:rsidP="00F26010">
      <w:pPr>
        <w:rPr>
          <w:rFonts w:eastAsiaTheme="minorHAnsi"/>
          <w:sz w:val="28"/>
          <w:szCs w:val="28"/>
          <w:lang w:eastAsia="en-US"/>
        </w:rPr>
      </w:pPr>
    </w:p>
    <w:p w14:paraId="54969E64" w14:textId="11640208" w:rsidR="00F26010" w:rsidRPr="003A6FC6" w:rsidRDefault="00E409A8" w:rsidP="00F26010">
      <w:pPr>
        <w:rPr>
          <w:rFonts w:eastAsiaTheme="minorHAnsi"/>
          <w:b/>
          <w:bCs/>
          <w:lang w:eastAsia="en-US"/>
        </w:rPr>
      </w:pPr>
      <w:r w:rsidRPr="003A6FC6">
        <w:rPr>
          <w:rFonts w:eastAsiaTheme="minorHAnsi"/>
          <w:b/>
          <w:bCs/>
          <w:lang w:eastAsia="en-US"/>
        </w:rPr>
        <w:lastRenderedPageBreak/>
        <w:t>“</w:t>
      </w:r>
      <w:r w:rsidR="00F26010" w:rsidRPr="003A6FC6">
        <w:rPr>
          <w:rFonts w:eastAsiaTheme="minorHAnsi"/>
          <w:b/>
          <w:bCs/>
          <w:lang w:eastAsia="en-US"/>
        </w:rPr>
        <w:t>Automation Artificial Intelligence in Medical Physics</w:t>
      </w:r>
      <w:r w:rsidRPr="003A6FC6">
        <w:rPr>
          <w:rFonts w:eastAsiaTheme="minorHAnsi"/>
          <w:b/>
          <w:bCs/>
          <w:lang w:eastAsia="en-US"/>
        </w:rPr>
        <w:t>” by</w:t>
      </w:r>
      <w:bookmarkStart w:id="0" w:name="_GoBack"/>
      <w:bookmarkEnd w:id="0"/>
      <w:r w:rsidRPr="003A6FC6">
        <w:rPr>
          <w:rFonts w:eastAsiaTheme="minorHAnsi"/>
          <w:b/>
          <w:bCs/>
          <w:lang w:eastAsia="en-US"/>
        </w:rPr>
        <w:t xml:space="preserve"> </w:t>
      </w:r>
      <w:r w:rsidR="00F26010" w:rsidRPr="003A6FC6">
        <w:rPr>
          <w:rFonts w:eastAsiaTheme="minorHAnsi"/>
          <w:b/>
          <w:bCs/>
          <w:lang w:eastAsia="en-US"/>
        </w:rPr>
        <w:t>D</w:t>
      </w:r>
      <w:r w:rsidR="00E365F4" w:rsidRPr="003A6FC6">
        <w:rPr>
          <w:rFonts w:eastAsiaTheme="minorHAnsi"/>
          <w:b/>
          <w:bCs/>
          <w:lang w:eastAsia="en-US"/>
        </w:rPr>
        <w:t>aniel</w:t>
      </w:r>
      <w:r w:rsidR="00F26010" w:rsidRPr="003A6FC6">
        <w:rPr>
          <w:rFonts w:eastAsiaTheme="minorHAnsi"/>
          <w:b/>
          <w:bCs/>
          <w:lang w:eastAsia="en-US"/>
        </w:rPr>
        <w:t xml:space="preserve"> Johnson</w:t>
      </w:r>
      <w:r w:rsidR="00E365F4" w:rsidRPr="003A6FC6">
        <w:rPr>
          <w:rFonts w:eastAsiaTheme="minorHAnsi"/>
          <w:b/>
          <w:bCs/>
          <w:lang w:eastAsia="en-US"/>
        </w:rPr>
        <w:t>, Ph.D.</w:t>
      </w:r>
    </w:p>
    <w:p w14:paraId="15746871" w14:textId="77777777" w:rsidR="00F26010" w:rsidRPr="00D61B83" w:rsidRDefault="00F26010" w:rsidP="00F26010">
      <w:pPr>
        <w:rPr>
          <w:rFonts w:eastAsiaTheme="minorHAnsi"/>
          <w:lang w:eastAsia="en-US"/>
        </w:rPr>
      </w:pPr>
    </w:p>
    <w:p w14:paraId="2DD775D8" w14:textId="77777777" w:rsidR="00F26010" w:rsidRPr="00D61B83" w:rsidRDefault="00F26010" w:rsidP="00F26010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It is the expectation that artificial intelligence should exhibit the following characteristics…</w:t>
      </w:r>
    </w:p>
    <w:p w14:paraId="3DD09B30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introversion, intuition, thinking and judgmental</w:t>
      </w:r>
    </w:p>
    <w:p w14:paraId="06DE515D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to live, laugh, and love</w:t>
      </w:r>
    </w:p>
    <w:p w14:paraId="19E416DB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high velocity, high volume and high variety</w:t>
      </w:r>
    </w:p>
    <w:p w14:paraId="5E4DA0A1" w14:textId="71002369" w:rsidR="00F26010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 xml:space="preserve">intentionality, adaptability and intelligence </w:t>
      </w:r>
    </w:p>
    <w:p w14:paraId="7541FCB0" w14:textId="77777777" w:rsidR="00CD27BD" w:rsidRDefault="00CD27BD" w:rsidP="00CD27BD">
      <w:pPr>
        <w:contextualSpacing/>
        <w:rPr>
          <w:rFonts w:eastAsiaTheme="minorHAnsi"/>
          <w:lang w:eastAsia="en-US"/>
        </w:rPr>
      </w:pPr>
    </w:p>
    <w:p w14:paraId="2D5B785E" w14:textId="53CCDCDD" w:rsidR="00CD27BD" w:rsidRPr="000E5801" w:rsidRDefault="00CD27BD" w:rsidP="000E5801">
      <w:pPr>
        <w:ind w:left="72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0E5801">
        <w:rPr>
          <w:rFonts w:eastAsiaTheme="minorHAnsi"/>
          <w:i/>
          <w:iCs/>
          <w:lang w:eastAsia="en-US"/>
        </w:rPr>
        <w:t>Ref: DM West, JR Allen, How artificial intelligence is transforming the world, Brookings Report, April 24</w:t>
      </w:r>
      <w:r w:rsidRPr="000E5801">
        <w:rPr>
          <w:rFonts w:eastAsiaTheme="minorHAnsi"/>
          <w:i/>
          <w:iCs/>
          <w:vertAlign w:val="superscript"/>
          <w:lang w:eastAsia="en-US"/>
        </w:rPr>
        <w:t>th</w:t>
      </w:r>
      <w:r w:rsidRPr="000E5801">
        <w:rPr>
          <w:rFonts w:eastAsiaTheme="minorHAnsi"/>
          <w:i/>
          <w:iCs/>
          <w:lang w:eastAsia="en-US"/>
        </w:rPr>
        <w:t>, 2018</w:t>
      </w:r>
    </w:p>
    <w:p w14:paraId="63182EDB" w14:textId="77777777" w:rsidR="00F26010" w:rsidRPr="00D61B83" w:rsidRDefault="00F26010" w:rsidP="00F26010">
      <w:pPr>
        <w:ind w:left="1440"/>
        <w:contextualSpacing/>
        <w:rPr>
          <w:rFonts w:eastAsiaTheme="minorHAnsi"/>
          <w:lang w:eastAsia="en-US"/>
        </w:rPr>
      </w:pPr>
    </w:p>
    <w:p w14:paraId="31CA76C1" w14:textId="77777777" w:rsidR="00F26010" w:rsidRPr="00D61B83" w:rsidRDefault="00F26010" w:rsidP="00F26010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The specialized metrics for the evaluation of unbalanced data sets used in machine learning applications are…</w:t>
      </w:r>
    </w:p>
    <w:p w14:paraId="3F3A92DE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Precision and Recall (F-measure)</w:t>
      </w:r>
    </w:p>
    <w:p w14:paraId="452136CC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Ad Hoc and post hoc ergo propter hoc</w:t>
      </w:r>
    </w:p>
    <w:p w14:paraId="26401C62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 xml:space="preserve">Sensitivity and Specificity </w:t>
      </w:r>
    </w:p>
    <w:p w14:paraId="048DA124" w14:textId="611840D0" w:rsidR="00F26010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Supervised Testing and Unsupervised Examination</w:t>
      </w:r>
    </w:p>
    <w:p w14:paraId="7A7B5881" w14:textId="68FF511C" w:rsidR="00CD27BD" w:rsidRDefault="00CD27BD" w:rsidP="00CD27BD">
      <w:pPr>
        <w:contextualSpacing/>
        <w:rPr>
          <w:rFonts w:eastAsiaTheme="minorHAnsi"/>
          <w:lang w:eastAsia="en-US"/>
        </w:rPr>
      </w:pPr>
    </w:p>
    <w:p w14:paraId="59B9D230" w14:textId="518CF8CD" w:rsidR="00CD27BD" w:rsidRPr="000E5801" w:rsidRDefault="00CD27BD" w:rsidP="000E5801">
      <w:pPr>
        <w:ind w:left="720"/>
        <w:contextualSpacing/>
        <w:rPr>
          <w:rFonts w:eastAsiaTheme="minorHAnsi"/>
          <w:i/>
          <w:iCs/>
          <w:lang w:eastAsia="en-US"/>
        </w:rPr>
      </w:pPr>
      <w:r w:rsidRPr="000E5801">
        <w:rPr>
          <w:rFonts w:eastAsiaTheme="minorHAnsi"/>
          <w:i/>
          <w:iCs/>
          <w:lang w:eastAsia="en-US"/>
        </w:rPr>
        <w:t xml:space="preserve">Ref: Powers, David M W, Evaluation: From Precision, Recall and F-Measure to ROC, </w:t>
      </w:r>
      <w:proofErr w:type="spellStart"/>
      <w:r w:rsidRPr="000E5801">
        <w:rPr>
          <w:rFonts w:eastAsiaTheme="minorHAnsi"/>
          <w:i/>
          <w:iCs/>
          <w:lang w:eastAsia="en-US"/>
        </w:rPr>
        <w:t>Informedness</w:t>
      </w:r>
      <w:proofErr w:type="spellEnd"/>
      <w:r w:rsidRPr="000E5801">
        <w:rPr>
          <w:rFonts w:eastAsiaTheme="minorHAnsi"/>
          <w:i/>
          <w:iCs/>
          <w:lang w:eastAsia="en-US"/>
        </w:rPr>
        <w:t xml:space="preserve">, </w:t>
      </w:r>
      <w:proofErr w:type="spellStart"/>
      <w:r w:rsidRPr="000E5801">
        <w:rPr>
          <w:rFonts w:eastAsiaTheme="minorHAnsi"/>
          <w:i/>
          <w:iCs/>
          <w:lang w:eastAsia="en-US"/>
        </w:rPr>
        <w:t>Markedness</w:t>
      </w:r>
      <w:proofErr w:type="spellEnd"/>
      <w:r w:rsidRPr="000E5801">
        <w:rPr>
          <w:rFonts w:eastAsiaTheme="minorHAnsi"/>
          <w:i/>
          <w:iCs/>
          <w:lang w:eastAsia="en-US"/>
        </w:rPr>
        <w:t xml:space="preserve"> &amp; Correlation,  Journal of Machine Learning Technologies. 2 (1): 37–63</w:t>
      </w:r>
    </w:p>
    <w:p w14:paraId="25D78FF1" w14:textId="77777777" w:rsidR="00CD27BD" w:rsidRPr="00CD27BD" w:rsidRDefault="00CD27BD" w:rsidP="00CD27BD">
      <w:pPr>
        <w:contextualSpacing/>
        <w:rPr>
          <w:rFonts w:eastAsiaTheme="minorHAnsi"/>
          <w:sz w:val="18"/>
          <w:szCs w:val="18"/>
          <w:lang w:eastAsia="en-US"/>
        </w:rPr>
      </w:pPr>
    </w:p>
    <w:p w14:paraId="486B84C5" w14:textId="77777777" w:rsidR="00F26010" w:rsidRPr="00D61B83" w:rsidRDefault="00F26010" w:rsidP="00F26010">
      <w:pPr>
        <w:ind w:left="1440"/>
        <w:contextualSpacing/>
        <w:rPr>
          <w:rFonts w:eastAsiaTheme="minorHAnsi"/>
          <w:lang w:eastAsia="en-US"/>
        </w:rPr>
      </w:pPr>
    </w:p>
    <w:p w14:paraId="5FD1573A" w14:textId="77777777" w:rsidR="00F26010" w:rsidRPr="00D61B83" w:rsidRDefault="00F26010" w:rsidP="00F26010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In an example of computer aided diagnosis, aspects of analysis previously performed by radiomics applications was replaced by a deep learning method that utilized…</w:t>
      </w:r>
    </w:p>
    <w:p w14:paraId="7D0C27DB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GANs</w:t>
      </w:r>
    </w:p>
    <w:p w14:paraId="5661E9F4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CNNs</w:t>
      </w:r>
    </w:p>
    <w:p w14:paraId="055916FA" w14:textId="77777777" w:rsidR="00F26010" w:rsidRPr="00D61B83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Decision Trees</w:t>
      </w:r>
    </w:p>
    <w:p w14:paraId="45D3266C" w14:textId="16BE1573" w:rsidR="00F26010" w:rsidRDefault="00F26010" w:rsidP="00F26010">
      <w:pPr>
        <w:numPr>
          <w:ilvl w:val="1"/>
          <w:numId w:val="2"/>
        </w:numPr>
        <w:contextualSpacing/>
        <w:rPr>
          <w:rFonts w:eastAsiaTheme="minorHAnsi"/>
          <w:lang w:eastAsia="en-US"/>
        </w:rPr>
      </w:pPr>
      <w:r w:rsidRPr="00D61B83">
        <w:rPr>
          <w:rFonts w:eastAsiaTheme="minorHAnsi"/>
          <w:lang w:eastAsia="en-US"/>
        </w:rPr>
        <w:t>MSNBCs</w:t>
      </w:r>
    </w:p>
    <w:p w14:paraId="15499C9F" w14:textId="440A29F2" w:rsidR="00CD27BD" w:rsidRDefault="00CD27BD" w:rsidP="00CD27BD">
      <w:pPr>
        <w:contextualSpacing/>
        <w:rPr>
          <w:rFonts w:eastAsiaTheme="minorHAnsi"/>
          <w:lang w:eastAsia="en-US"/>
        </w:rPr>
      </w:pPr>
    </w:p>
    <w:p w14:paraId="4B128653" w14:textId="1C7E71F3" w:rsidR="00CD27BD" w:rsidRPr="000E5801" w:rsidRDefault="00CD27BD" w:rsidP="000E5801">
      <w:pPr>
        <w:ind w:left="720"/>
        <w:contextualSpacing/>
        <w:rPr>
          <w:rFonts w:eastAsiaTheme="minorHAnsi"/>
          <w:i/>
          <w:iCs/>
          <w:lang w:eastAsia="en-US"/>
        </w:rPr>
      </w:pPr>
      <w:r w:rsidRPr="000E5801">
        <w:rPr>
          <w:rFonts w:eastAsiaTheme="minorHAnsi"/>
          <w:i/>
          <w:iCs/>
          <w:lang w:eastAsia="en-US"/>
        </w:rPr>
        <w:t>Ref: Huynh B.Q., Li H., M.L. Giger, Digital mammographic tumor classification using transfer learning from deep convolutional neural networks, J. Med. Imaging, 3 (2016), p. 034501</w:t>
      </w:r>
    </w:p>
    <w:p w14:paraId="54F80CDE" w14:textId="77777777" w:rsidR="00CD27BD" w:rsidRPr="00D61B83" w:rsidRDefault="00CD27BD" w:rsidP="00CD27BD">
      <w:pPr>
        <w:contextualSpacing/>
        <w:rPr>
          <w:rFonts w:eastAsiaTheme="minorHAnsi"/>
          <w:lang w:eastAsia="en-US"/>
        </w:rPr>
      </w:pPr>
    </w:p>
    <w:p w14:paraId="6414EF39" w14:textId="77777777" w:rsidR="00D61B83" w:rsidRDefault="00D61B83" w:rsidP="00E24759">
      <w:pPr>
        <w:rPr>
          <w:rFonts w:cstheme="minorHAnsi"/>
        </w:rPr>
      </w:pPr>
    </w:p>
    <w:p w14:paraId="7B98A563" w14:textId="77777777" w:rsidR="00D61B83" w:rsidRDefault="00D61B83" w:rsidP="00E24759">
      <w:pPr>
        <w:rPr>
          <w:rFonts w:cstheme="minorHAnsi"/>
        </w:rPr>
      </w:pPr>
    </w:p>
    <w:p w14:paraId="6B7C66F0" w14:textId="77777777" w:rsidR="00D61B83" w:rsidRDefault="00D61B83" w:rsidP="00E24759">
      <w:pPr>
        <w:rPr>
          <w:rFonts w:cstheme="minorHAnsi"/>
        </w:rPr>
      </w:pPr>
    </w:p>
    <w:p w14:paraId="141F9ACF" w14:textId="77777777" w:rsidR="00D61B83" w:rsidRDefault="00D61B83" w:rsidP="00E24759">
      <w:pPr>
        <w:rPr>
          <w:rFonts w:cstheme="minorHAnsi"/>
        </w:rPr>
      </w:pPr>
    </w:p>
    <w:p w14:paraId="7F561AF4" w14:textId="77777777" w:rsidR="00D61B83" w:rsidRDefault="00D61B83" w:rsidP="00E24759">
      <w:pPr>
        <w:rPr>
          <w:rFonts w:cstheme="minorHAnsi"/>
        </w:rPr>
      </w:pPr>
    </w:p>
    <w:p w14:paraId="4B7A31B3" w14:textId="77777777" w:rsidR="00D61B83" w:rsidRDefault="00D61B83" w:rsidP="00E24759">
      <w:pPr>
        <w:rPr>
          <w:rFonts w:cstheme="minorHAnsi"/>
        </w:rPr>
      </w:pPr>
    </w:p>
    <w:p w14:paraId="626E4024" w14:textId="77777777" w:rsidR="00D61B83" w:rsidRDefault="00D61B83" w:rsidP="00E24759">
      <w:pPr>
        <w:rPr>
          <w:rFonts w:cstheme="minorHAnsi"/>
        </w:rPr>
      </w:pPr>
    </w:p>
    <w:p w14:paraId="15759C4B" w14:textId="77777777" w:rsidR="00D61B83" w:rsidRDefault="00D61B83" w:rsidP="00E24759">
      <w:pPr>
        <w:rPr>
          <w:rFonts w:cstheme="minorHAnsi"/>
        </w:rPr>
      </w:pPr>
    </w:p>
    <w:p w14:paraId="431AD3D6" w14:textId="6B703216" w:rsidR="00E24759" w:rsidRPr="003A6FC6" w:rsidRDefault="00D61B83" w:rsidP="00E24759">
      <w:pPr>
        <w:rPr>
          <w:rFonts w:cstheme="minorHAnsi"/>
          <w:b/>
          <w:bCs/>
        </w:rPr>
      </w:pPr>
      <w:r w:rsidRPr="003A6FC6">
        <w:rPr>
          <w:rFonts w:cstheme="minorHAnsi"/>
          <w:b/>
          <w:bCs/>
        </w:rPr>
        <w:lastRenderedPageBreak/>
        <w:t xml:space="preserve"> </w:t>
      </w:r>
      <w:r w:rsidR="00E24759" w:rsidRPr="003A6FC6">
        <w:rPr>
          <w:rFonts w:cstheme="minorHAnsi"/>
          <w:b/>
          <w:bCs/>
        </w:rPr>
        <w:t>“Practical implementation of EPID-based QA for</w:t>
      </w:r>
      <w:r w:rsidRPr="003A6FC6">
        <w:rPr>
          <w:rFonts w:cstheme="minorHAnsi"/>
          <w:b/>
          <w:bCs/>
        </w:rPr>
        <w:t xml:space="preserve"> LINAC</w:t>
      </w:r>
      <w:r w:rsidR="00E24759" w:rsidRPr="003A6FC6">
        <w:rPr>
          <w:rFonts w:cstheme="minorHAnsi"/>
          <w:b/>
          <w:bCs/>
        </w:rPr>
        <w:t>”</w:t>
      </w:r>
      <w:r w:rsidR="00E409A8" w:rsidRPr="003A6FC6">
        <w:rPr>
          <w:rFonts w:cstheme="minorHAnsi"/>
          <w:b/>
          <w:bCs/>
        </w:rPr>
        <w:t xml:space="preserve"> by</w:t>
      </w:r>
      <w:r w:rsidRPr="003A6FC6">
        <w:rPr>
          <w:rFonts w:cstheme="minorHAnsi"/>
          <w:b/>
          <w:bCs/>
        </w:rPr>
        <w:t xml:space="preserve"> </w:t>
      </w:r>
      <w:proofErr w:type="spellStart"/>
      <w:r w:rsidR="00E24759" w:rsidRPr="003A6FC6">
        <w:rPr>
          <w:rFonts w:cstheme="minorHAnsi"/>
          <w:b/>
          <w:bCs/>
        </w:rPr>
        <w:t>Baozhou</w:t>
      </w:r>
      <w:proofErr w:type="spellEnd"/>
      <w:r w:rsidR="00E24759" w:rsidRPr="003A6FC6">
        <w:rPr>
          <w:rFonts w:cstheme="minorHAnsi"/>
          <w:b/>
          <w:bCs/>
        </w:rPr>
        <w:t xml:space="preserve"> Sun</w:t>
      </w:r>
      <w:r w:rsidRPr="003A6FC6">
        <w:rPr>
          <w:rFonts w:cstheme="minorHAnsi"/>
          <w:b/>
          <w:bCs/>
        </w:rPr>
        <w:t>, Ph.D.</w:t>
      </w:r>
    </w:p>
    <w:p w14:paraId="5BDD2B30" w14:textId="77777777" w:rsidR="00E24759" w:rsidRPr="00D61B83" w:rsidRDefault="00E24759" w:rsidP="00E24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CEB72A" w14:textId="3F06A1B7" w:rsidR="00E24759" w:rsidRPr="00D61B83" w:rsidRDefault="00E24759" w:rsidP="00CD27BD">
      <w:pPr>
        <w:pStyle w:val="Default"/>
        <w:spacing w:after="103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1. </w:t>
      </w:r>
      <w:r w:rsidR="00CD27BD">
        <w:rPr>
          <w:rFonts w:asciiTheme="minorHAnsi" w:hAnsiTheme="minorHAnsi" w:cstheme="minorHAnsi"/>
          <w:sz w:val="22"/>
          <w:szCs w:val="22"/>
        </w:rPr>
        <w:t xml:space="preserve"> </w:t>
      </w:r>
      <w:r w:rsidRPr="00D61B83">
        <w:rPr>
          <w:rFonts w:asciiTheme="minorHAnsi" w:hAnsiTheme="minorHAnsi" w:cstheme="minorHAnsi"/>
          <w:sz w:val="22"/>
          <w:szCs w:val="22"/>
        </w:rPr>
        <w:t xml:space="preserve">The EPID can be used to check the following QA tests: </w:t>
      </w:r>
    </w:p>
    <w:p w14:paraId="6B55A138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A. Dosimetry output constancy </w:t>
      </w:r>
    </w:p>
    <w:p w14:paraId="4F16CED0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B. Beam flatness and symmetry </w:t>
      </w:r>
    </w:p>
    <w:p w14:paraId="3908E9F0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C. Winston </w:t>
      </w:r>
      <w:proofErr w:type="spellStart"/>
      <w:r w:rsidRPr="00D61B83">
        <w:rPr>
          <w:rFonts w:asciiTheme="minorHAnsi" w:hAnsiTheme="minorHAnsi" w:cstheme="minorHAnsi"/>
          <w:sz w:val="22"/>
          <w:szCs w:val="22"/>
        </w:rPr>
        <w:t>Luts</w:t>
      </w:r>
      <w:proofErr w:type="spellEnd"/>
      <w:r w:rsidRPr="00D61B83">
        <w:rPr>
          <w:rFonts w:asciiTheme="minorHAnsi" w:hAnsiTheme="minorHAnsi" w:cstheme="minorHAnsi"/>
          <w:sz w:val="22"/>
          <w:szCs w:val="22"/>
        </w:rPr>
        <w:t xml:space="preserve"> test </w:t>
      </w:r>
    </w:p>
    <w:p w14:paraId="26037701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D. MLC positioning accuracy </w:t>
      </w:r>
    </w:p>
    <w:p w14:paraId="6DF91A88" w14:textId="77777777" w:rsidR="00E24759" w:rsidRPr="00D61B83" w:rsidRDefault="00E24759" w:rsidP="00CD27BD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E. All of above </w:t>
      </w:r>
    </w:p>
    <w:p w14:paraId="087BC3F4" w14:textId="77777777" w:rsidR="00E24759" w:rsidRPr="00D61B83" w:rsidRDefault="00E24759" w:rsidP="00E24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D6E8EE" w14:textId="5AB3C19D" w:rsidR="000E5801" w:rsidRPr="000E5801" w:rsidRDefault="006B4BE2" w:rsidP="000E580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Ref: </w:t>
      </w:r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Sun,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Baozhou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, S.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Murty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Goddu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, Sridhar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Yaddanapudi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, Camille Noel, Hua Li, Bin Cai, James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Kavanaugh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, and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Sasa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Mutic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. "Daily QA of linear accelerators using only EPID and OBI." Medical physics 42, no. 10 (2015): 5584-5594. </w:t>
      </w:r>
    </w:p>
    <w:p w14:paraId="09327BB9" w14:textId="5260E80F" w:rsidR="00E24759" w:rsidRPr="000E5801" w:rsidRDefault="006B4BE2" w:rsidP="000E580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Ref: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Rowshanfarzad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, P., </w:t>
      </w:r>
      <w:proofErr w:type="spellStart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Sabet</w:t>
      </w:r>
      <w:proofErr w:type="spellEnd"/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, M., O'Connor, D. J., &amp; Greer, P. B. (2011). Verification of the linac isocenter for stereotactic radiosurgery using cine‐EPID imaging and arc delivery. Medical physics, 38(7), 3963-3970. </w:t>
      </w:r>
    </w:p>
    <w:p w14:paraId="70C11802" w14:textId="77777777" w:rsidR="00E24759" w:rsidRPr="00D61B83" w:rsidRDefault="00E24759" w:rsidP="00E24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C30095" w14:textId="77777777" w:rsidR="00E24759" w:rsidRPr="00D61B83" w:rsidRDefault="00E24759" w:rsidP="00E24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FA37B5" w14:textId="71194A83" w:rsidR="00E24759" w:rsidRPr="00D61B83" w:rsidRDefault="00E24759" w:rsidP="00E24759">
      <w:pPr>
        <w:pStyle w:val="Default"/>
        <w:spacing w:after="103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2. </w:t>
      </w:r>
      <w:r w:rsidR="00CD27BD">
        <w:rPr>
          <w:rFonts w:asciiTheme="minorHAnsi" w:hAnsiTheme="minorHAnsi" w:cstheme="minorHAnsi"/>
          <w:sz w:val="22"/>
          <w:szCs w:val="22"/>
        </w:rPr>
        <w:t xml:space="preserve"> </w:t>
      </w:r>
      <w:r w:rsidRPr="00D61B83">
        <w:rPr>
          <w:rFonts w:asciiTheme="minorHAnsi" w:hAnsiTheme="minorHAnsi" w:cstheme="minorHAnsi"/>
          <w:sz w:val="22"/>
          <w:szCs w:val="22"/>
        </w:rPr>
        <w:t xml:space="preserve">What are the advantages of using EPID for machine QA: </w:t>
      </w:r>
    </w:p>
    <w:p w14:paraId="4B3803F4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A. High Resolution </w:t>
      </w:r>
    </w:p>
    <w:p w14:paraId="3EFC8261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B. Digital output for automation </w:t>
      </w:r>
    </w:p>
    <w:p w14:paraId="78229BCD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C. No dose rate dependence </w:t>
      </w:r>
    </w:p>
    <w:p w14:paraId="62BFFC22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D. Linear dose response </w:t>
      </w:r>
    </w:p>
    <w:p w14:paraId="7A389D82" w14:textId="77777777" w:rsidR="00E24759" w:rsidRPr="00D61B83" w:rsidRDefault="00E24759" w:rsidP="00CD27BD">
      <w:pPr>
        <w:pStyle w:val="Default"/>
        <w:spacing w:after="103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E. All of above </w:t>
      </w:r>
    </w:p>
    <w:p w14:paraId="68FF796A" w14:textId="77777777" w:rsidR="00E24759" w:rsidRPr="00D61B83" w:rsidRDefault="00E24759" w:rsidP="00CD27BD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D61B83">
        <w:rPr>
          <w:rFonts w:asciiTheme="minorHAnsi" w:hAnsiTheme="minorHAnsi" w:cstheme="minorHAnsi"/>
          <w:sz w:val="22"/>
          <w:szCs w:val="22"/>
        </w:rPr>
        <w:t xml:space="preserve">F. A, B, D </w:t>
      </w:r>
    </w:p>
    <w:p w14:paraId="6D9C0342" w14:textId="45E9EBD6" w:rsidR="00E24759" w:rsidRPr="00D61B83" w:rsidRDefault="00E24759" w:rsidP="00E247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35EB99" w14:textId="05B2B2C1" w:rsidR="00E24759" w:rsidRDefault="006B4BE2" w:rsidP="000E580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Ref: </w:t>
      </w:r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Winkler, Peter, Alfred Hefner, and Dietmar Georg. "Dose‐response characteristics of an amorphous silicon EPID." Medical physics 32.10 (2005): 3095-3105 </w:t>
      </w:r>
    </w:p>
    <w:p w14:paraId="509C005B" w14:textId="28DD1ECA" w:rsidR="00E24759" w:rsidRPr="000E5801" w:rsidRDefault="006B4BE2" w:rsidP="000E580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E5801">
        <w:rPr>
          <w:rFonts w:asciiTheme="minorHAnsi" w:hAnsiTheme="minorHAnsi" w:cstheme="minorHAnsi"/>
          <w:i/>
          <w:iCs/>
          <w:sz w:val="22"/>
          <w:szCs w:val="22"/>
        </w:rPr>
        <w:t xml:space="preserve">Ref: </w:t>
      </w:r>
      <w:r w:rsidR="00E24759" w:rsidRPr="000E5801">
        <w:rPr>
          <w:rFonts w:asciiTheme="minorHAnsi" w:hAnsiTheme="minorHAnsi" w:cstheme="minorHAnsi"/>
          <w:i/>
          <w:iCs/>
          <w:sz w:val="22"/>
          <w:szCs w:val="22"/>
        </w:rPr>
        <w:t>Greer PB, Popescu CC, Dosimetric properties of an amorphous silicon electronic portal imaging device for verification of dynamic intensity modulated radiation therapy. Med Phys 31(2004_: 285–295.</w:t>
      </w:r>
    </w:p>
    <w:p w14:paraId="5C2A115F" w14:textId="77777777" w:rsidR="00D61B83" w:rsidRPr="00D61B83" w:rsidRDefault="00D61B83" w:rsidP="00E24759">
      <w:pPr>
        <w:rPr>
          <w:rFonts w:cstheme="minorHAnsi"/>
        </w:rPr>
      </w:pPr>
    </w:p>
    <w:p w14:paraId="16D334B5" w14:textId="7C3AD68F" w:rsidR="00E24759" w:rsidRPr="00D61B83" w:rsidRDefault="00E24759" w:rsidP="00E24759">
      <w:pPr>
        <w:rPr>
          <w:rFonts w:cstheme="minorHAnsi"/>
        </w:rPr>
      </w:pPr>
      <w:r w:rsidRPr="00D61B83">
        <w:rPr>
          <w:rFonts w:cstheme="minorHAnsi"/>
        </w:rPr>
        <w:t xml:space="preserve">3. </w:t>
      </w:r>
      <w:r w:rsidR="00CD27BD">
        <w:rPr>
          <w:rFonts w:cstheme="minorHAnsi"/>
        </w:rPr>
        <w:t xml:space="preserve"> </w:t>
      </w:r>
      <w:r w:rsidRPr="00D61B83">
        <w:rPr>
          <w:rFonts w:cstheme="minorHAnsi"/>
        </w:rPr>
        <w:t>Compared with the old EPID panel as1000, what are the advantages of new EPID panel aS1200?</w:t>
      </w:r>
    </w:p>
    <w:p w14:paraId="3F99C16C" w14:textId="77777777" w:rsidR="00E24759" w:rsidRPr="00D61B83" w:rsidRDefault="00E24759" w:rsidP="00CD27BD">
      <w:pPr>
        <w:ind w:firstLine="720"/>
        <w:rPr>
          <w:rFonts w:cstheme="minorHAnsi"/>
        </w:rPr>
      </w:pPr>
      <w:r w:rsidRPr="00D61B83">
        <w:rPr>
          <w:rFonts w:cstheme="minorHAnsi"/>
        </w:rPr>
        <w:t xml:space="preserve">A. It can used be used for </w:t>
      </w:r>
      <w:proofErr w:type="spellStart"/>
      <w:r w:rsidRPr="00D61B83">
        <w:rPr>
          <w:rFonts w:cstheme="minorHAnsi"/>
        </w:rPr>
        <w:t>flattern</w:t>
      </w:r>
      <w:proofErr w:type="spellEnd"/>
      <w:r w:rsidRPr="00D61B83">
        <w:rPr>
          <w:rFonts w:cstheme="minorHAnsi"/>
        </w:rPr>
        <w:t xml:space="preserve"> field free beams with high dose rate</w:t>
      </w:r>
    </w:p>
    <w:p w14:paraId="089E1285" w14:textId="77777777" w:rsidR="00E24759" w:rsidRPr="00D61B83" w:rsidRDefault="00E24759" w:rsidP="00CD27BD">
      <w:pPr>
        <w:ind w:firstLine="720"/>
        <w:rPr>
          <w:rFonts w:cstheme="minorHAnsi"/>
        </w:rPr>
      </w:pPr>
      <w:r w:rsidRPr="00D61B83">
        <w:rPr>
          <w:rFonts w:cstheme="minorHAnsi"/>
        </w:rPr>
        <w:t>B. It reduced the backscatter of the support arm</w:t>
      </w:r>
    </w:p>
    <w:p w14:paraId="33393A54" w14:textId="77777777" w:rsidR="00E24759" w:rsidRPr="00D61B83" w:rsidRDefault="00E24759" w:rsidP="00CD27BD">
      <w:pPr>
        <w:ind w:firstLine="720"/>
        <w:rPr>
          <w:rFonts w:cstheme="minorHAnsi"/>
        </w:rPr>
      </w:pPr>
      <w:r w:rsidRPr="00D61B83">
        <w:rPr>
          <w:rFonts w:cstheme="minorHAnsi"/>
        </w:rPr>
        <w:t>C. It has a large field size and higher resolution</w:t>
      </w:r>
    </w:p>
    <w:p w14:paraId="1CA775E7" w14:textId="3A002A79" w:rsidR="00E24759" w:rsidRPr="00D61B83" w:rsidRDefault="00E24759" w:rsidP="00CD27BD">
      <w:pPr>
        <w:ind w:firstLine="720"/>
        <w:rPr>
          <w:rFonts w:cstheme="minorHAnsi"/>
        </w:rPr>
      </w:pPr>
      <w:r w:rsidRPr="00D61B83">
        <w:rPr>
          <w:rFonts w:cstheme="minorHAnsi"/>
        </w:rPr>
        <w:t>D. All of above</w:t>
      </w:r>
    </w:p>
    <w:p w14:paraId="4CCC4428" w14:textId="08122BBD" w:rsidR="006B4BE2" w:rsidRPr="000E5801" w:rsidRDefault="006B4BE2" w:rsidP="00E24759">
      <w:pPr>
        <w:rPr>
          <w:rFonts w:cstheme="minorHAnsi"/>
          <w:i/>
          <w:iCs/>
        </w:rPr>
      </w:pPr>
      <w:r w:rsidRPr="000E5801">
        <w:rPr>
          <w:rFonts w:cstheme="minorHAnsi"/>
          <w:i/>
          <w:iCs/>
        </w:rPr>
        <w:t xml:space="preserve">Ref: </w:t>
      </w:r>
      <w:r w:rsidR="00E24759" w:rsidRPr="000E5801">
        <w:rPr>
          <w:rFonts w:cstheme="minorHAnsi"/>
          <w:i/>
          <w:iCs/>
        </w:rPr>
        <w:t>Xu Z, Kim J, Han J, Hsia AT, Ryu S. Dose rate response of Digital Megavolt Imager detector for flattening filter-free beams. J Appl Clin Med Phys. 2018;19(4):141–147. doi:10.1002/acm2.12358</w:t>
      </w:r>
    </w:p>
    <w:p w14:paraId="7DABB17F" w14:textId="1AA60510" w:rsidR="00E409A8" w:rsidRPr="000E5801" w:rsidRDefault="006B4BE2" w:rsidP="00E24759">
      <w:pPr>
        <w:rPr>
          <w:rFonts w:cstheme="minorHAnsi"/>
          <w:i/>
          <w:iCs/>
        </w:rPr>
      </w:pPr>
      <w:r w:rsidRPr="000E5801">
        <w:rPr>
          <w:rFonts w:cstheme="minorHAnsi"/>
          <w:i/>
          <w:iCs/>
        </w:rPr>
        <w:t xml:space="preserve">Ref: </w:t>
      </w:r>
      <w:r w:rsidR="00E24759" w:rsidRPr="000E5801">
        <w:rPr>
          <w:rFonts w:cstheme="minorHAnsi"/>
          <w:i/>
          <w:iCs/>
        </w:rPr>
        <w:t xml:space="preserve">Miri N, Keller P, </w:t>
      </w:r>
      <w:proofErr w:type="spellStart"/>
      <w:r w:rsidR="00E24759" w:rsidRPr="000E5801">
        <w:rPr>
          <w:rFonts w:cstheme="minorHAnsi"/>
          <w:i/>
          <w:iCs/>
        </w:rPr>
        <w:t>Zwan</w:t>
      </w:r>
      <w:proofErr w:type="spellEnd"/>
      <w:r w:rsidR="00E24759" w:rsidRPr="000E5801">
        <w:rPr>
          <w:rFonts w:cstheme="minorHAnsi"/>
          <w:i/>
          <w:iCs/>
        </w:rPr>
        <w:t xml:space="preserve"> BJ, Greer P. EPID-based dosimetry to verify IMRT planar dose distribution for the aS1200 EPID and FFF beams. J Appl Clin Med Phys. 2016;17(6):292–304. Published 2016 Nov 8. doi:10.1120/jacmp.v17i6.6336</w:t>
      </w:r>
    </w:p>
    <w:p w14:paraId="34F2FA9C" w14:textId="2DC36993" w:rsidR="00E409A8" w:rsidRPr="003A6FC6" w:rsidRDefault="00E409A8" w:rsidP="00E24759">
      <w:pPr>
        <w:rPr>
          <w:rFonts w:cstheme="minorHAnsi"/>
          <w:b/>
          <w:bCs/>
        </w:rPr>
      </w:pPr>
      <w:r w:rsidRPr="003A6FC6">
        <w:rPr>
          <w:b/>
          <w:bCs/>
        </w:rPr>
        <w:lastRenderedPageBreak/>
        <w:t xml:space="preserve">“Automation in Planning and Delivery of Stereotactic Radiosurgery” by Richard </w:t>
      </w:r>
      <w:proofErr w:type="spellStart"/>
      <w:r w:rsidRPr="003A6FC6">
        <w:rPr>
          <w:b/>
          <w:bCs/>
        </w:rPr>
        <w:t>Popple</w:t>
      </w:r>
      <w:proofErr w:type="spellEnd"/>
      <w:r w:rsidRPr="003A6FC6">
        <w:rPr>
          <w:b/>
          <w:bCs/>
        </w:rPr>
        <w:t>, Ph.D.</w:t>
      </w:r>
    </w:p>
    <w:p w14:paraId="6B42597C" w14:textId="3D178BF6" w:rsidR="00E365F4" w:rsidRDefault="00E365F4" w:rsidP="000E5801">
      <w:pPr>
        <w:ind w:left="360" w:hanging="360"/>
      </w:pPr>
      <w:r>
        <w:t xml:space="preserve">1. </w:t>
      </w:r>
      <w:r w:rsidR="000E5801">
        <w:tab/>
      </w:r>
      <w:r>
        <w:t>The most effective method of minimizing dose to normal brain for single isocenter VMAT radiosurgery is</w:t>
      </w:r>
    </w:p>
    <w:p w14:paraId="6B6FD352" w14:textId="77777777" w:rsidR="00E365F4" w:rsidRDefault="00E365F4" w:rsidP="00E365F4">
      <w:pPr>
        <w:pStyle w:val="ListParagraph"/>
        <w:numPr>
          <w:ilvl w:val="0"/>
          <w:numId w:val="6"/>
        </w:numPr>
        <w:spacing w:after="160" w:line="259" w:lineRule="auto"/>
      </w:pPr>
      <w:r>
        <w:t>Choosing the collimator angles to minimize MLC leaf sharing</w:t>
      </w:r>
    </w:p>
    <w:p w14:paraId="3C0AD292" w14:textId="77777777" w:rsidR="00E365F4" w:rsidRDefault="00E365F4" w:rsidP="00E365F4">
      <w:pPr>
        <w:pStyle w:val="ListParagraph"/>
        <w:numPr>
          <w:ilvl w:val="0"/>
          <w:numId w:val="6"/>
        </w:numPr>
        <w:spacing w:after="160" w:line="259" w:lineRule="auto"/>
      </w:pPr>
      <w:r>
        <w:t>Choosing the table angles to minimize MLC leaf sharing</w:t>
      </w:r>
    </w:p>
    <w:p w14:paraId="063D0688" w14:textId="77777777" w:rsidR="00E365F4" w:rsidRDefault="00E365F4" w:rsidP="00E365F4">
      <w:pPr>
        <w:pStyle w:val="ListParagraph"/>
        <w:numPr>
          <w:ilvl w:val="0"/>
          <w:numId w:val="6"/>
        </w:numPr>
        <w:spacing w:after="160" w:line="259" w:lineRule="auto"/>
      </w:pPr>
      <w:r>
        <w:t>Using jaw tracking</w:t>
      </w:r>
    </w:p>
    <w:p w14:paraId="6E303A90" w14:textId="77777777" w:rsidR="00E365F4" w:rsidRDefault="00E365F4" w:rsidP="00E365F4">
      <w:pPr>
        <w:pStyle w:val="ListParagraph"/>
        <w:numPr>
          <w:ilvl w:val="0"/>
          <w:numId w:val="6"/>
        </w:numPr>
        <w:spacing w:after="160" w:line="259" w:lineRule="auto"/>
      </w:pPr>
      <w:r>
        <w:t>Including a constraint on the normal brain dose in the optimization objective function</w:t>
      </w:r>
    </w:p>
    <w:p w14:paraId="4B439821" w14:textId="77777777" w:rsidR="00E365F4" w:rsidRDefault="00E365F4" w:rsidP="00E365F4">
      <w:pPr>
        <w:pStyle w:val="ListParagraph"/>
        <w:numPr>
          <w:ilvl w:val="0"/>
          <w:numId w:val="6"/>
        </w:numPr>
        <w:spacing w:after="160" w:line="259" w:lineRule="auto"/>
      </w:pPr>
      <w:r>
        <w:t>Turning off the display of the normal brain DVH</w:t>
      </w:r>
    </w:p>
    <w:p w14:paraId="7B913360" w14:textId="6E1CF29A" w:rsidR="00E365F4" w:rsidRPr="000E5801" w:rsidRDefault="00E365F4" w:rsidP="000E5801">
      <w:pPr>
        <w:rPr>
          <w:i/>
          <w:iCs/>
        </w:rPr>
      </w:pPr>
      <w:r w:rsidRPr="000E5801">
        <w:rPr>
          <w:i/>
          <w:iCs/>
        </w:rPr>
        <w:t xml:space="preserve">Ref: Yuan Y, Thomas EM, Clark GA, </w:t>
      </w:r>
      <w:proofErr w:type="spellStart"/>
      <w:r w:rsidRPr="000E5801">
        <w:rPr>
          <w:i/>
          <w:iCs/>
        </w:rPr>
        <w:t>Markert</w:t>
      </w:r>
      <w:proofErr w:type="spellEnd"/>
      <w:r w:rsidRPr="000E5801">
        <w:rPr>
          <w:i/>
          <w:iCs/>
        </w:rPr>
        <w:t xml:space="preserve"> JM, </w:t>
      </w:r>
      <w:proofErr w:type="spellStart"/>
      <w:r w:rsidRPr="000E5801">
        <w:rPr>
          <w:i/>
          <w:iCs/>
        </w:rPr>
        <w:t>Fiveash</w:t>
      </w:r>
      <w:proofErr w:type="spellEnd"/>
      <w:r w:rsidRPr="000E5801">
        <w:rPr>
          <w:i/>
          <w:iCs/>
        </w:rPr>
        <w:t xml:space="preserve"> JB, </w:t>
      </w:r>
      <w:proofErr w:type="spellStart"/>
      <w:r w:rsidRPr="000E5801">
        <w:rPr>
          <w:i/>
          <w:iCs/>
        </w:rPr>
        <w:t>Popple</w:t>
      </w:r>
      <w:proofErr w:type="spellEnd"/>
      <w:r w:rsidRPr="000E5801">
        <w:rPr>
          <w:i/>
          <w:iCs/>
        </w:rPr>
        <w:t xml:space="preserve"> RA. Evaluation of multiple factors affecting normal brain dose in single-isocenter multiple target radiosurgery. J </w:t>
      </w:r>
      <w:proofErr w:type="spellStart"/>
      <w:r w:rsidRPr="000E5801">
        <w:rPr>
          <w:i/>
          <w:iCs/>
        </w:rPr>
        <w:t>Radiosurg</w:t>
      </w:r>
      <w:proofErr w:type="spellEnd"/>
      <w:r w:rsidRPr="000E5801">
        <w:rPr>
          <w:i/>
          <w:iCs/>
        </w:rPr>
        <w:t xml:space="preserve"> SBRT. 2018;5(2):131-144. PMID: 29657894; PMCID: PMC5893454.</w:t>
      </w:r>
    </w:p>
    <w:p w14:paraId="0C6CDF4B" w14:textId="77777777" w:rsidR="00E365F4" w:rsidRDefault="00E365F4" w:rsidP="00E365F4"/>
    <w:p w14:paraId="47BEE5A3" w14:textId="4B6133BC" w:rsidR="00E365F4" w:rsidRDefault="00E365F4" w:rsidP="000E5801">
      <w:pPr>
        <w:ind w:left="360" w:hanging="360"/>
      </w:pPr>
      <w:r>
        <w:t xml:space="preserve">2. </w:t>
      </w:r>
      <w:r w:rsidR="000E5801">
        <w:tab/>
      </w:r>
      <w:r>
        <w:t>Compared to human-generated treatment plans, SRS treatment plans created by a knowledge-based machine-learning system were preferred by the physician</w:t>
      </w:r>
    </w:p>
    <w:p w14:paraId="017C6A32" w14:textId="77777777" w:rsidR="00E365F4" w:rsidRDefault="00E365F4" w:rsidP="00E365F4">
      <w:pPr>
        <w:pStyle w:val="ListParagraph"/>
        <w:numPr>
          <w:ilvl w:val="0"/>
          <w:numId w:val="7"/>
        </w:numPr>
        <w:spacing w:after="160" w:line="259" w:lineRule="auto"/>
      </w:pPr>
      <w:r>
        <w:t>&lt; 10% of the time</w:t>
      </w:r>
    </w:p>
    <w:p w14:paraId="1D02BAAF" w14:textId="77777777" w:rsidR="00E365F4" w:rsidRDefault="00E365F4" w:rsidP="00E365F4">
      <w:pPr>
        <w:pStyle w:val="ListParagraph"/>
        <w:numPr>
          <w:ilvl w:val="0"/>
          <w:numId w:val="7"/>
        </w:numPr>
        <w:spacing w:after="160" w:line="259" w:lineRule="auto"/>
      </w:pPr>
      <w:r>
        <w:t>25% of the time</w:t>
      </w:r>
    </w:p>
    <w:p w14:paraId="0CC0A019" w14:textId="77777777" w:rsidR="00E365F4" w:rsidRDefault="00E365F4" w:rsidP="00E365F4">
      <w:pPr>
        <w:pStyle w:val="ListParagraph"/>
        <w:numPr>
          <w:ilvl w:val="0"/>
          <w:numId w:val="7"/>
        </w:numPr>
        <w:spacing w:after="160" w:line="259" w:lineRule="auto"/>
      </w:pPr>
      <w:r>
        <w:t>50% of the time</w:t>
      </w:r>
    </w:p>
    <w:p w14:paraId="54CA99DD" w14:textId="77777777" w:rsidR="00E365F4" w:rsidRDefault="00E365F4" w:rsidP="00E365F4">
      <w:pPr>
        <w:pStyle w:val="ListParagraph"/>
        <w:numPr>
          <w:ilvl w:val="0"/>
          <w:numId w:val="7"/>
        </w:numPr>
        <w:spacing w:after="160" w:line="259" w:lineRule="auto"/>
      </w:pPr>
      <w:r>
        <w:t>75% of the time</w:t>
      </w:r>
    </w:p>
    <w:p w14:paraId="7B7D8D02" w14:textId="77777777" w:rsidR="00E365F4" w:rsidRDefault="00E365F4" w:rsidP="00E365F4">
      <w:pPr>
        <w:pStyle w:val="ListParagraph"/>
        <w:numPr>
          <w:ilvl w:val="0"/>
          <w:numId w:val="7"/>
        </w:numPr>
        <w:spacing w:after="160" w:line="259" w:lineRule="auto"/>
      </w:pPr>
      <w:r>
        <w:t>&gt; 90% of the time</w:t>
      </w:r>
    </w:p>
    <w:p w14:paraId="420DEC61" w14:textId="6793FC33" w:rsidR="00E365F4" w:rsidRPr="000E5801" w:rsidRDefault="00E365F4" w:rsidP="00E365F4">
      <w:pPr>
        <w:rPr>
          <w:i/>
          <w:iCs/>
        </w:rPr>
      </w:pPr>
      <w:r w:rsidRPr="000E5801">
        <w:rPr>
          <w:i/>
          <w:iCs/>
        </w:rPr>
        <w:t xml:space="preserve">Ref: </w:t>
      </w:r>
      <w:proofErr w:type="spellStart"/>
      <w:r w:rsidRPr="000E5801">
        <w:rPr>
          <w:i/>
          <w:iCs/>
        </w:rPr>
        <w:t>Ziemer</w:t>
      </w:r>
      <w:proofErr w:type="spellEnd"/>
      <w:r w:rsidRPr="000E5801">
        <w:rPr>
          <w:i/>
          <w:iCs/>
        </w:rPr>
        <w:t xml:space="preserve"> BP et al. Fully automated, comprehensive knowledge-based planning for stereotactic radiosurgery: Preclinical validation through blinded physician review. Practical Radiation Oncology (2017) 7, e569-e578.</w:t>
      </w:r>
    </w:p>
    <w:p w14:paraId="2B320FB8" w14:textId="77777777" w:rsidR="00E365F4" w:rsidRDefault="00E365F4" w:rsidP="00E365F4"/>
    <w:p w14:paraId="3A91CE73" w14:textId="6B0A8531" w:rsidR="00E365F4" w:rsidRDefault="00E365F4" w:rsidP="000E5801">
      <w:pPr>
        <w:ind w:left="360" w:hanging="360"/>
      </w:pPr>
      <w:r>
        <w:t xml:space="preserve">3. </w:t>
      </w:r>
      <w:r w:rsidR="000E5801">
        <w:tab/>
      </w:r>
      <w:r>
        <w:t xml:space="preserve">Compared to manual VMAT and Gamma Knife, the automated planning systems </w:t>
      </w:r>
      <w:proofErr w:type="spellStart"/>
      <w:r>
        <w:t>HyperArc</w:t>
      </w:r>
      <w:proofErr w:type="spellEnd"/>
      <w:r>
        <w:t xml:space="preserve"> and Multi-Metastasis Elements had</w:t>
      </w:r>
    </w:p>
    <w:p w14:paraId="06A9EBFF" w14:textId="77777777" w:rsidR="00E365F4" w:rsidRDefault="00E365F4" w:rsidP="00E365F4">
      <w:pPr>
        <w:pStyle w:val="ListParagraph"/>
        <w:numPr>
          <w:ilvl w:val="0"/>
          <w:numId w:val="5"/>
        </w:numPr>
        <w:spacing w:after="160" w:line="259" w:lineRule="auto"/>
      </w:pPr>
      <w:r>
        <w:t>The least patient-specific QA effort</w:t>
      </w:r>
    </w:p>
    <w:p w14:paraId="3FCF3D6D" w14:textId="77777777" w:rsidR="00E365F4" w:rsidRDefault="00E365F4" w:rsidP="00E365F4">
      <w:pPr>
        <w:pStyle w:val="ListParagraph"/>
        <w:numPr>
          <w:ilvl w:val="0"/>
          <w:numId w:val="5"/>
        </w:numPr>
        <w:spacing w:after="160" w:line="259" w:lineRule="auto"/>
      </w:pPr>
      <w:r>
        <w:t>The best delivery efficiency</w:t>
      </w:r>
    </w:p>
    <w:p w14:paraId="0C744363" w14:textId="77777777" w:rsidR="00E365F4" w:rsidRDefault="00E365F4" w:rsidP="00E365F4">
      <w:pPr>
        <w:pStyle w:val="ListParagraph"/>
        <w:numPr>
          <w:ilvl w:val="0"/>
          <w:numId w:val="5"/>
        </w:numPr>
        <w:spacing w:after="160" w:line="259" w:lineRule="auto"/>
      </w:pPr>
      <w:r>
        <w:t>The least inter-planner variability</w:t>
      </w:r>
    </w:p>
    <w:p w14:paraId="6349D6B3" w14:textId="77777777" w:rsidR="00E365F4" w:rsidRDefault="00E365F4" w:rsidP="00E365F4">
      <w:pPr>
        <w:pStyle w:val="ListParagraph"/>
        <w:numPr>
          <w:ilvl w:val="0"/>
          <w:numId w:val="5"/>
        </w:numPr>
        <w:spacing w:after="160" w:line="259" w:lineRule="auto"/>
      </w:pPr>
      <w:r>
        <w:t>The best conformity index</w:t>
      </w:r>
    </w:p>
    <w:p w14:paraId="22BE7189" w14:textId="77777777" w:rsidR="00E365F4" w:rsidRDefault="00E365F4" w:rsidP="00E365F4">
      <w:pPr>
        <w:pStyle w:val="ListParagraph"/>
        <w:numPr>
          <w:ilvl w:val="0"/>
          <w:numId w:val="5"/>
        </w:numPr>
        <w:spacing w:after="160" w:line="259" w:lineRule="auto"/>
      </w:pPr>
      <w:r>
        <w:t>The best dose falloff</w:t>
      </w:r>
    </w:p>
    <w:p w14:paraId="1A592B73" w14:textId="333F0CEA" w:rsidR="00E365F4" w:rsidRPr="000E5801" w:rsidRDefault="00E365F4" w:rsidP="00E365F4">
      <w:pPr>
        <w:rPr>
          <w:i/>
          <w:iCs/>
        </w:rPr>
      </w:pPr>
      <w:r w:rsidRPr="000E5801">
        <w:rPr>
          <w:i/>
          <w:iCs/>
        </w:rPr>
        <w:t xml:space="preserve">Ref: </w:t>
      </w:r>
      <w:proofErr w:type="spellStart"/>
      <w:r w:rsidRPr="000E5801">
        <w:rPr>
          <w:i/>
          <w:iCs/>
        </w:rPr>
        <w:t>Vergalasova</w:t>
      </w:r>
      <w:proofErr w:type="spellEnd"/>
      <w:r w:rsidRPr="000E5801">
        <w:rPr>
          <w:i/>
          <w:iCs/>
        </w:rPr>
        <w:t xml:space="preserve"> I, et al. (2019) Multi-Institutional Dosimetric Evaluation of Modern Day Stereotactic Radiosurgery (SRS) Treatment Options for Multiple Brain Metastases. Front. Oncol. 9:483. </w:t>
      </w:r>
      <w:proofErr w:type="spellStart"/>
      <w:r w:rsidRPr="000E5801">
        <w:rPr>
          <w:i/>
          <w:iCs/>
        </w:rPr>
        <w:t>doi</w:t>
      </w:r>
      <w:proofErr w:type="spellEnd"/>
      <w:r w:rsidRPr="000E5801">
        <w:rPr>
          <w:i/>
          <w:iCs/>
        </w:rPr>
        <w:t>: 10.3389/fonc.2019.00483.</w:t>
      </w:r>
    </w:p>
    <w:p w14:paraId="473E0102" w14:textId="77777777" w:rsidR="00D61B83" w:rsidRDefault="00D61B83" w:rsidP="00E365F4">
      <w:pPr>
        <w:rPr>
          <w:rFonts w:ascii="Arial" w:hAnsi="Arial" w:cs="Arial"/>
        </w:rPr>
      </w:pPr>
    </w:p>
    <w:p w14:paraId="562D380A" w14:textId="77777777" w:rsidR="00D61B83" w:rsidRDefault="00D61B83" w:rsidP="00E365F4">
      <w:pPr>
        <w:rPr>
          <w:rFonts w:ascii="Arial" w:hAnsi="Arial" w:cs="Arial"/>
        </w:rPr>
      </w:pPr>
    </w:p>
    <w:p w14:paraId="6566F4FD" w14:textId="77777777" w:rsidR="00D61B83" w:rsidRDefault="00D61B83" w:rsidP="00E365F4">
      <w:pPr>
        <w:rPr>
          <w:rFonts w:ascii="Arial" w:hAnsi="Arial" w:cs="Arial"/>
        </w:rPr>
      </w:pPr>
    </w:p>
    <w:p w14:paraId="001431FD" w14:textId="6A8360A2" w:rsidR="006B4BE2" w:rsidRDefault="006B4BE2" w:rsidP="00E365F4">
      <w:pPr>
        <w:rPr>
          <w:rFonts w:cstheme="minorHAnsi"/>
        </w:rPr>
      </w:pPr>
    </w:p>
    <w:p w14:paraId="314E67CB" w14:textId="7A1E8654" w:rsidR="00E365F4" w:rsidRPr="003A6FC6" w:rsidRDefault="00E409A8" w:rsidP="00E365F4">
      <w:pPr>
        <w:rPr>
          <w:rFonts w:cstheme="minorHAnsi"/>
          <w:b/>
          <w:bCs/>
        </w:rPr>
      </w:pPr>
      <w:r w:rsidRPr="003A6FC6">
        <w:rPr>
          <w:rFonts w:cstheme="minorHAnsi"/>
          <w:b/>
          <w:bCs/>
        </w:rPr>
        <w:lastRenderedPageBreak/>
        <w:t>“</w:t>
      </w:r>
      <w:r w:rsidR="00E365F4" w:rsidRPr="003A6FC6">
        <w:rPr>
          <w:rFonts w:cstheme="minorHAnsi"/>
          <w:b/>
          <w:bCs/>
        </w:rPr>
        <w:t>Data-</w:t>
      </w:r>
      <w:r w:rsidRPr="003A6FC6">
        <w:rPr>
          <w:rFonts w:cstheme="minorHAnsi"/>
          <w:b/>
          <w:bCs/>
        </w:rPr>
        <w:t>D</w:t>
      </w:r>
      <w:r w:rsidR="00E365F4" w:rsidRPr="003A6FC6">
        <w:rPr>
          <w:rFonts w:cstheme="minorHAnsi"/>
          <w:b/>
          <w:bCs/>
        </w:rPr>
        <w:t xml:space="preserve">riven </w:t>
      </w:r>
      <w:r w:rsidRPr="003A6FC6">
        <w:rPr>
          <w:rFonts w:cstheme="minorHAnsi"/>
          <w:b/>
          <w:bCs/>
        </w:rPr>
        <w:t>C</w:t>
      </w:r>
      <w:r w:rsidR="00E365F4" w:rsidRPr="003A6FC6">
        <w:rPr>
          <w:rFonts w:cstheme="minorHAnsi"/>
          <w:b/>
          <w:bCs/>
        </w:rPr>
        <w:t xml:space="preserve">ontrol on </w:t>
      </w:r>
      <w:r w:rsidRPr="003A6FC6">
        <w:rPr>
          <w:rFonts w:cstheme="minorHAnsi"/>
          <w:b/>
          <w:bCs/>
        </w:rPr>
        <w:t>M</w:t>
      </w:r>
      <w:r w:rsidR="00E365F4" w:rsidRPr="003A6FC6">
        <w:rPr>
          <w:rFonts w:cstheme="minorHAnsi"/>
          <w:b/>
          <w:bCs/>
        </w:rPr>
        <w:t>ulti-</w:t>
      </w:r>
      <w:r w:rsidRPr="003A6FC6">
        <w:rPr>
          <w:rFonts w:cstheme="minorHAnsi"/>
          <w:b/>
          <w:bCs/>
        </w:rPr>
        <w:t>I</w:t>
      </w:r>
      <w:r w:rsidR="00E365F4" w:rsidRPr="003A6FC6">
        <w:rPr>
          <w:rFonts w:cstheme="minorHAnsi"/>
          <w:b/>
          <w:bCs/>
        </w:rPr>
        <w:t xml:space="preserve">nstitutional </w:t>
      </w:r>
      <w:r w:rsidRPr="003A6FC6">
        <w:rPr>
          <w:rFonts w:cstheme="minorHAnsi"/>
          <w:b/>
          <w:bCs/>
        </w:rPr>
        <w:t>C</w:t>
      </w:r>
      <w:r w:rsidR="00E365F4" w:rsidRPr="003A6FC6">
        <w:rPr>
          <w:rFonts w:cstheme="minorHAnsi"/>
          <w:b/>
          <w:bCs/>
        </w:rPr>
        <w:t xml:space="preserve">linical </w:t>
      </w:r>
      <w:r w:rsidRPr="003A6FC6">
        <w:rPr>
          <w:rFonts w:cstheme="minorHAnsi"/>
          <w:b/>
          <w:bCs/>
        </w:rPr>
        <w:t>T</w:t>
      </w:r>
      <w:r w:rsidR="00E365F4" w:rsidRPr="003A6FC6">
        <w:rPr>
          <w:rFonts w:cstheme="minorHAnsi"/>
          <w:b/>
          <w:bCs/>
        </w:rPr>
        <w:t>rials</w:t>
      </w:r>
      <w:r w:rsidRPr="003A6FC6">
        <w:rPr>
          <w:rFonts w:cstheme="minorHAnsi"/>
          <w:b/>
          <w:bCs/>
        </w:rPr>
        <w:t xml:space="preserve">” by </w:t>
      </w:r>
      <w:r w:rsidR="00D61B83" w:rsidRPr="003A6FC6">
        <w:rPr>
          <w:rFonts w:cstheme="minorHAnsi"/>
          <w:b/>
          <w:bCs/>
        </w:rPr>
        <w:t>Jessica Lowenstein, M.S.</w:t>
      </w:r>
    </w:p>
    <w:p w14:paraId="27F0AD5D" w14:textId="77777777" w:rsidR="00E365F4" w:rsidRPr="00D61B83" w:rsidRDefault="00E365F4" w:rsidP="00E365F4">
      <w:pPr>
        <w:rPr>
          <w:rFonts w:cstheme="minorHAnsi"/>
        </w:rPr>
      </w:pPr>
    </w:p>
    <w:p w14:paraId="0C44275A" w14:textId="77777777" w:rsidR="00E365F4" w:rsidRPr="00D61B83" w:rsidRDefault="00E365F4" w:rsidP="00E365F4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The purpose of using KBP in multi-institutional trials is to:</w:t>
      </w:r>
    </w:p>
    <w:p w14:paraId="2DA665D0" w14:textId="77777777" w:rsidR="00E365F4" w:rsidRPr="00D61B83" w:rsidRDefault="00E365F4" w:rsidP="00E365F4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Drive physicist and dosimetrists crazy</w:t>
      </w:r>
    </w:p>
    <w:p w14:paraId="639CA64A" w14:textId="77777777" w:rsidR="00E365F4" w:rsidRPr="00D61B83" w:rsidRDefault="00E365F4" w:rsidP="00E365F4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Attempt to limit the number of trial participants treated with suboptimal treatment plans</w:t>
      </w:r>
    </w:p>
    <w:p w14:paraId="0BA45AE6" w14:textId="77777777" w:rsidR="00E365F4" w:rsidRPr="00D61B83" w:rsidRDefault="00E365F4" w:rsidP="00E365F4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A &amp; B</w:t>
      </w:r>
    </w:p>
    <w:p w14:paraId="3B3FE041" w14:textId="77777777" w:rsidR="00E365F4" w:rsidRPr="00D61B83" w:rsidRDefault="00E365F4" w:rsidP="00E365F4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None of the above</w:t>
      </w:r>
    </w:p>
    <w:p w14:paraId="17F3C975" w14:textId="21CE78ED" w:rsidR="00E365F4" w:rsidRPr="000E5801" w:rsidRDefault="00E365F4" w:rsidP="000E5801">
      <w:pPr>
        <w:ind w:left="720"/>
        <w:rPr>
          <w:rFonts w:cstheme="minorHAnsi"/>
          <w:i/>
          <w:iCs/>
        </w:rPr>
      </w:pPr>
      <w:r w:rsidRPr="000E5801">
        <w:rPr>
          <w:rFonts w:cstheme="minorHAnsi"/>
          <w:i/>
          <w:iCs/>
        </w:rPr>
        <w:t>Ref: Quantifying Unnecessary Normal Tissue Complication Risks due to Suboptimal Planning: A Secondary Study of RTOG 0126; Kevin Moore et al; Int J of Radiation Oncol Biol Phys, Vol 92, No. 2,pp. 228-235, 2015</w:t>
      </w:r>
    </w:p>
    <w:p w14:paraId="7E844579" w14:textId="77777777" w:rsidR="00E365F4" w:rsidRPr="00D61B83" w:rsidRDefault="00E365F4" w:rsidP="00E365F4">
      <w:pPr>
        <w:rPr>
          <w:rFonts w:cstheme="minorHAnsi"/>
        </w:rPr>
      </w:pPr>
    </w:p>
    <w:p w14:paraId="336A2719" w14:textId="77777777" w:rsidR="00E365F4" w:rsidRPr="00D61B83" w:rsidRDefault="00E365F4" w:rsidP="00E365F4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Even though the planning target volume (PTV) meets the protocol guidelines, it is possible to utilize the KBP to improve the sparing of organs-at-risk (OAR):</w:t>
      </w:r>
    </w:p>
    <w:p w14:paraId="0A6AB28B" w14:textId="77777777" w:rsidR="00E365F4" w:rsidRPr="00D61B83" w:rsidRDefault="00E365F4" w:rsidP="00E365F4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True</w:t>
      </w:r>
    </w:p>
    <w:p w14:paraId="3A502469" w14:textId="77777777" w:rsidR="00E365F4" w:rsidRPr="00D61B83" w:rsidRDefault="00E365F4" w:rsidP="00E365F4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False</w:t>
      </w:r>
    </w:p>
    <w:p w14:paraId="01AEC02C" w14:textId="0901D08D" w:rsidR="00E365F4" w:rsidRPr="000E5801" w:rsidRDefault="00E365F4" w:rsidP="000E580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  <w:r w:rsidRPr="000E5801">
        <w:rPr>
          <w:rFonts w:cstheme="minorHAnsi"/>
          <w:i/>
          <w:iCs/>
        </w:rPr>
        <w:t xml:space="preserve">Ref: Tol JP, et al., Analysis of EORTC-1219-DAHANCA-29 trial plans demonstrates the potential of knowledge-based planning to provide patient-specific treatment plan quality assurance. </w:t>
      </w:r>
      <w:proofErr w:type="spellStart"/>
      <w:r w:rsidRPr="000E5801">
        <w:rPr>
          <w:rFonts w:cstheme="minorHAnsi"/>
          <w:i/>
          <w:iCs/>
        </w:rPr>
        <w:t>Radiother</w:t>
      </w:r>
      <w:proofErr w:type="spellEnd"/>
      <w:r w:rsidRPr="000E5801">
        <w:rPr>
          <w:rFonts w:cstheme="minorHAnsi"/>
          <w:i/>
          <w:iCs/>
        </w:rPr>
        <w:t xml:space="preserve"> </w:t>
      </w:r>
      <w:proofErr w:type="spellStart"/>
      <w:r w:rsidRPr="000E5801">
        <w:rPr>
          <w:rFonts w:cstheme="minorHAnsi"/>
          <w:i/>
          <w:iCs/>
        </w:rPr>
        <w:t>Oncol</w:t>
      </w:r>
      <w:proofErr w:type="spellEnd"/>
      <w:r w:rsidRPr="000E5801">
        <w:rPr>
          <w:rFonts w:cstheme="minorHAnsi"/>
          <w:i/>
          <w:iCs/>
        </w:rPr>
        <w:t xml:space="preserve"> 130, pp75-81, 2019.</w:t>
      </w:r>
    </w:p>
    <w:p w14:paraId="280F08C4" w14:textId="67DD5C77" w:rsidR="00E365F4" w:rsidRDefault="00E365F4" w:rsidP="00E36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312EC7" w14:textId="77777777" w:rsidR="006B4BE2" w:rsidRPr="00D61B83" w:rsidRDefault="006B4BE2" w:rsidP="00E365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D00432" w14:textId="77777777" w:rsidR="00E365F4" w:rsidRPr="00D61B83" w:rsidRDefault="00E365F4" w:rsidP="00E01150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The NRG-HN001 site-specific KBP model showed that:</w:t>
      </w:r>
    </w:p>
    <w:p w14:paraId="3E3DDD76" w14:textId="77777777" w:rsidR="00E365F4" w:rsidRPr="00D61B83" w:rsidRDefault="00E365F4" w:rsidP="00E0115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The dose received by 95% of the PTV is similar between the submitted and KBP plans.</w:t>
      </w:r>
    </w:p>
    <w:p w14:paraId="6665D5E6" w14:textId="77777777" w:rsidR="00E365F4" w:rsidRPr="00D61B83" w:rsidRDefault="00E365F4" w:rsidP="00E0115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A relative improvement of at least 5% can be achieved in the maximum dose to the OAR.</w:t>
      </w:r>
    </w:p>
    <w:p w14:paraId="6BCBD72E" w14:textId="77777777" w:rsidR="00E365F4" w:rsidRPr="00D61B83" w:rsidRDefault="00E365F4" w:rsidP="00E0115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A &amp; B</w:t>
      </w:r>
    </w:p>
    <w:p w14:paraId="060AFEDE" w14:textId="77777777" w:rsidR="00E365F4" w:rsidRPr="00D61B83" w:rsidRDefault="00E365F4" w:rsidP="00E01150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D61B83">
        <w:rPr>
          <w:rFonts w:cstheme="minorHAnsi"/>
        </w:rPr>
        <w:t>None of the above</w:t>
      </w:r>
    </w:p>
    <w:p w14:paraId="2D265301" w14:textId="25AA7808" w:rsidR="00E365F4" w:rsidRPr="000E5801" w:rsidRDefault="00E365F4" w:rsidP="000E5801">
      <w:pPr>
        <w:shd w:val="clear" w:color="auto" w:fill="FFFFFF"/>
        <w:ind w:left="720"/>
        <w:rPr>
          <w:rFonts w:cstheme="minorHAnsi"/>
          <w:i/>
          <w:iCs/>
        </w:rPr>
      </w:pPr>
      <w:r w:rsidRPr="000E5801">
        <w:rPr>
          <w:rFonts w:cstheme="minorHAnsi"/>
          <w:i/>
          <w:iCs/>
        </w:rPr>
        <w:t xml:space="preserve">Ref: </w:t>
      </w:r>
      <w:proofErr w:type="spellStart"/>
      <w:r w:rsidRPr="000E5801">
        <w:rPr>
          <w:rFonts w:cstheme="minorHAnsi"/>
          <w:i/>
          <w:iCs/>
        </w:rPr>
        <w:t>Giaddui</w:t>
      </w:r>
      <w:proofErr w:type="spellEnd"/>
      <w:r w:rsidRPr="000E5801">
        <w:rPr>
          <w:rFonts w:cstheme="minorHAnsi"/>
          <w:i/>
          <w:iCs/>
        </w:rPr>
        <w:t xml:space="preserve">, T, et al., Offline Quality Assurance fir Intensity Modulated Radiation Therapy Treatment Plans for NRG-HN001 Head and Neck Clinical Trial Using Knowledge-Based Planning. Adv. </w:t>
      </w:r>
      <w:proofErr w:type="spellStart"/>
      <w:r w:rsidRPr="000E5801">
        <w:rPr>
          <w:rFonts w:cstheme="minorHAnsi"/>
          <w:i/>
          <w:iCs/>
        </w:rPr>
        <w:t>Radiat</w:t>
      </w:r>
      <w:proofErr w:type="spellEnd"/>
      <w:r w:rsidRPr="000E5801">
        <w:rPr>
          <w:rFonts w:cstheme="minorHAnsi"/>
          <w:i/>
          <w:iCs/>
        </w:rPr>
        <w:t>. Oncol.2020 May 22:5(6):1342-1349.</w:t>
      </w:r>
    </w:p>
    <w:p w14:paraId="7845C611" w14:textId="77777777" w:rsidR="00D61B83" w:rsidRDefault="00D61B83" w:rsidP="00E365F4">
      <w:pPr>
        <w:rPr>
          <w:rFonts w:eastAsiaTheme="minorHAnsi"/>
          <w:lang w:eastAsia="en-US"/>
        </w:rPr>
      </w:pPr>
    </w:p>
    <w:p w14:paraId="69A26268" w14:textId="77777777" w:rsidR="00D61B83" w:rsidRDefault="00D61B83" w:rsidP="00E365F4">
      <w:pPr>
        <w:rPr>
          <w:rFonts w:eastAsiaTheme="minorHAnsi"/>
          <w:lang w:eastAsia="en-US"/>
        </w:rPr>
      </w:pPr>
    </w:p>
    <w:p w14:paraId="1F21FB0C" w14:textId="77777777" w:rsidR="00D61B83" w:rsidRDefault="00D61B83" w:rsidP="00E365F4">
      <w:pPr>
        <w:rPr>
          <w:rFonts w:eastAsiaTheme="minorHAnsi"/>
          <w:lang w:eastAsia="en-US"/>
        </w:rPr>
      </w:pPr>
    </w:p>
    <w:p w14:paraId="6475EBD5" w14:textId="77777777" w:rsidR="00D61B83" w:rsidRDefault="00D61B83" w:rsidP="00E365F4">
      <w:pPr>
        <w:rPr>
          <w:rFonts w:eastAsiaTheme="minorHAnsi"/>
          <w:lang w:eastAsia="en-US"/>
        </w:rPr>
      </w:pPr>
    </w:p>
    <w:p w14:paraId="67C19AF0" w14:textId="77777777" w:rsidR="00D61B83" w:rsidRDefault="00D61B83" w:rsidP="00E365F4">
      <w:pPr>
        <w:rPr>
          <w:rFonts w:eastAsiaTheme="minorHAnsi"/>
          <w:lang w:eastAsia="en-US"/>
        </w:rPr>
      </w:pPr>
    </w:p>
    <w:p w14:paraId="0B9CBA81" w14:textId="77777777" w:rsidR="00D61B83" w:rsidRDefault="00D61B83" w:rsidP="00E365F4">
      <w:pPr>
        <w:rPr>
          <w:rFonts w:eastAsiaTheme="minorHAnsi"/>
          <w:lang w:eastAsia="en-US"/>
        </w:rPr>
      </w:pPr>
    </w:p>
    <w:p w14:paraId="518EBECB" w14:textId="77777777" w:rsidR="00D61B83" w:rsidRDefault="00D61B83" w:rsidP="00E365F4">
      <w:pPr>
        <w:rPr>
          <w:rFonts w:eastAsiaTheme="minorHAnsi"/>
          <w:lang w:eastAsia="en-US"/>
        </w:rPr>
      </w:pPr>
    </w:p>
    <w:p w14:paraId="78797C34" w14:textId="54981C52" w:rsidR="006B4BE2" w:rsidRDefault="006B4BE2" w:rsidP="00E365F4"/>
    <w:p w14:paraId="27691B4B" w14:textId="17CB9756" w:rsidR="00E365F4" w:rsidRPr="003A6FC6" w:rsidRDefault="00E409A8" w:rsidP="00E365F4">
      <w:pPr>
        <w:rPr>
          <w:rFonts w:eastAsiaTheme="minorHAnsi"/>
          <w:b/>
          <w:bCs/>
          <w:lang w:eastAsia="en-US"/>
        </w:rPr>
      </w:pPr>
      <w:r w:rsidRPr="003A6FC6">
        <w:rPr>
          <w:b/>
          <w:bCs/>
        </w:rPr>
        <w:lastRenderedPageBreak/>
        <w:t>“</w:t>
      </w:r>
      <w:r w:rsidRPr="003A6FC6">
        <w:rPr>
          <w:rFonts w:ascii="Calibri" w:hAnsi="Calibri" w:cs="Calibri"/>
          <w:b/>
          <w:bCs/>
          <w:color w:val="212121"/>
          <w:shd w:val="clear" w:color="auto" w:fill="FFFFFF"/>
        </w:rPr>
        <w:t>Knowledge-Based Planning: Applying Lessons of the Past to Improve Radiotherapy Treatments</w:t>
      </w:r>
      <w:r w:rsidRPr="003A6FC6">
        <w:rPr>
          <w:b/>
          <w:bCs/>
        </w:rPr>
        <w:t xml:space="preserve">” </w:t>
      </w:r>
      <w:r w:rsidRPr="003A6FC6">
        <w:rPr>
          <w:rFonts w:eastAsiaTheme="minorHAnsi"/>
          <w:b/>
          <w:bCs/>
          <w:lang w:eastAsia="en-US"/>
        </w:rPr>
        <w:t>by</w:t>
      </w:r>
      <w:r w:rsidR="00E365F4" w:rsidRPr="003A6FC6">
        <w:rPr>
          <w:rFonts w:eastAsiaTheme="minorHAnsi"/>
          <w:b/>
          <w:bCs/>
          <w:lang w:eastAsia="en-US"/>
        </w:rPr>
        <w:t xml:space="preserve"> Kenny Guida</w:t>
      </w:r>
      <w:r w:rsidRPr="003A6FC6">
        <w:rPr>
          <w:rFonts w:eastAsiaTheme="minorHAnsi"/>
          <w:b/>
          <w:bCs/>
          <w:lang w:eastAsia="en-US"/>
        </w:rPr>
        <w:t>, DMP</w:t>
      </w:r>
    </w:p>
    <w:p w14:paraId="30D5E389" w14:textId="15861C92" w:rsidR="00E365F4" w:rsidRPr="00CD27BD" w:rsidRDefault="00E365F4" w:rsidP="00E01150">
      <w:pPr>
        <w:pStyle w:val="ListParagraph"/>
        <w:numPr>
          <w:ilvl w:val="0"/>
          <w:numId w:val="16"/>
        </w:numPr>
        <w:spacing w:after="160" w:line="259" w:lineRule="auto"/>
      </w:pPr>
      <w:r w:rsidRPr="00CD27BD">
        <w:t>Which statistical tools would be helpful in detecting Geometrical Outliers?</w:t>
      </w:r>
    </w:p>
    <w:p w14:paraId="1886C162" w14:textId="77777777" w:rsidR="00E365F4" w:rsidRPr="00E365F4" w:rsidRDefault="00E365F4" w:rsidP="00E01150">
      <w:pPr>
        <w:numPr>
          <w:ilvl w:val="0"/>
          <w:numId w:val="12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Regression Plots</w:t>
      </w:r>
    </w:p>
    <w:p w14:paraId="04B59270" w14:textId="77777777" w:rsidR="00E365F4" w:rsidRPr="00E365F4" w:rsidRDefault="00E365F4" w:rsidP="00E01150">
      <w:pPr>
        <w:numPr>
          <w:ilvl w:val="0"/>
          <w:numId w:val="12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In-Field DVH</w:t>
      </w:r>
    </w:p>
    <w:p w14:paraId="44BF9141" w14:textId="77777777" w:rsidR="00E365F4" w:rsidRPr="00E365F4" w:rsidRDefault="00E365F4" w:rsidP="00E01150">
      <w:pPr>
        <w:numPr>
          <w:ilvl w:val="0"/>
          <w:numId w:val="12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Modified Z-Score (</w:t>
      </w:r>
      <w:proofErr w:type="spellStart"/>
      <w:r w:rsidRPr="00E365F4">
        <w:rPr>
          <w:rFonts w:eastAsiaTheme="minorHAnsi"/>
          <w:lang w:eastAsia="en-US"/>
        </w:rPr>
        <w:t>mZ</w:t>
      </w:r>
      <w:proofErr w:type="spellEnd"/>
      <w:r w:rsidRPr="00E365F4">
        <w:rPr>
          <w:rFonts w:eastAsiaTheme="minorHAnsi"/>
          <w:lang w:eastAsia="en-US"/>
        </w:rPr>
        <w:t>)</w:t>
      </w:r>
    </w:p>
    <w:p w14:paraId="043437CB" w14:textId="77777777" w:rsidR="00E365F4" w:rsidRPr="00E365F4" w:rsidRDefault="00E365F4" w:rsidP="00E01150">
      <w:pPr>
        <w:numPr>
          <w:ilvl w:val="0"/>
          <w:numId w:val="12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All the Above</w:t>
      </w:r>
    </w:p>
    <w:p w14:paraId="624D1DAB" w14:textId="77777777" w:rsidR="00E365F4" w:rsidRPr="00D61B83" w:rsidRDefault="00E365F4" w:rsidP="00E01150">
      <w:pPr>
        <w:numPr>
          <w:ilvl w:val="0"/>
          <w:numId w:val="12"/>
        </w:numPr>
        <w:rPr>
          <w:rFonts w:eastAsiaTheme="minorHAnsi"/>
          <w:color w:val="000000" w:themeColor="text1"/>
          <w:lang w:eastAsia="en-US"/>
        </w:rPr>
      </w:pPr>
      <w:r w:rsidRPr="00D61B83">
        <w:rPr>
          <w:rFonts w:eastAsiaTheme="minorHAnsi"/>
          <w:color w:val="000000" w:themeColor="text1"/>
          <w:lang w:eastAsia="en-US"/>
        </w:rPr>
        <w:t>A and C only</w:t>
      </w:r>
    </w:p>
    <w:p w14:paraId="4378086E" w14:textId="77777777" w:rsidR="00E365F4" w:rsidRPr="00E365F4" w:rsidRDefault="00E365F4" w:rsidP="00E01150">
      <w:pPr>
        <w:rPr>
          <w:rFonts w:eastAsiaTheme="minorHAnsi"/>
          <w:lang w:eastAsia="en-US"/>
        </w:rPr>
      </w:pPr>
    </w:p>
    <w:p w14:paraId="6EE83F98" w14:textId="5C14C0BA" w:rsidR="00E365F4" w:rsidRPr="00CD27BD" w:rsidRDefault="00E365F4" w:rsidP="00E01150">
      <w:pPr>
        <w:pStyle w:val="ListParagraph"/>
        <w:numPr>
          <w:ilvl w:val="0"/>
          <w:numId w:val="16"/>
        </w:numPr>
        <w:spacing w:after="160" w:line="259" w:lineRule="auto"/>
      </w:pPr>
      <w:r w:rsidRPr="00CD27BD">
        <w:t>What aspects of treatment planning knowledge can be included in a specific model?</w:t>
      </w:r>
    </w:p>
    <w:p w14:paraId="5EDCB00A" w14:textId="77777777" w:rsidR="00E365F4" w:rsidRPr="00E365F4" w:rsidRDefault="00E365F4" w:rsidP="00E01150">
      <w:pPr>
        <w:numPr>
          <w:ilvl w:val="0"/>
          <w:numId w:val="13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OAR DVH data</w:t>
      </w:r>
    </w:p>
    <w:p w14:paraId="535A595B" w14:textId="77777777" w:rsidR="00E365F4" w:rsidRPr="00E365F4" w:rsidRDefault="00E365F4" w:rsidP="00E01150">
      <w:pPr>
        <w:numPr>
          <w:ilvl w:val="0"/>
          <w:numId w:val="13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Multiple PTV Prescriptions</w:t>
      </w:r>
    </w:p>
    <w:p w14:paraId="4C22DD36" w14:textId="77777777" w:rsidR="00E365F4" w:rsidRPr="00E365F4" w:rsidRDefault="00E365F4" w:rsidP="00E01150">
      <w:pPr>
        <w:numPr>
          <w:ilvl w:val="0"/>
          <w:numId w:val="13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Multiple OAR Structures</w:t>
      </w:r>
    </w:p>
    <w:p w14:paraId="708D42B2" w14:textId="77777777" w:rsidR="00E365F4" w:rsidRPr="00E365F4" w:rsidRDefault="00E365F4" w:rsidP="00E01150">
      <w:pPr>
        <w:numPr>
          <w:ilvl w:val="0"/>
          <w:numId w:val="13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Beam/Arc Angles</w:t>
      </w:r>
    </w:p>
    <w:p w14:paraId="76449DF2" w14:textId="77777777" w:rsidR="00E365F4" w:rsidRPr="00D61B83" w:rsidRDefault="00E365F4" w:rsidP="00E01150">
      <w:pPr>
        <w:numPr>
          <w:ilvl w:val="0"/>
          <w:numId w:val="13"/>
        </w:numPr>
        <w:rPr>
          <w:rFonts w:eastAsiaTheme="minorHAnsi"/>
          <w:color w:val="000000" w:themeColor="text1"/>
          <w:lang w:eastAsia="en-US"/>
        </w:rPr>
      </w:pPr>
      <w:r w:rsidRPr="00D61B83">
        <w:rPr>
          <w:rFonts w:eastAsiaTheme="minorHAnsi"/>
          <w:color w:val="000000" w:themeColor="text1"/>
          <w:lang w:eastAsia="en-US"/>
        </w:rPr>
        <w:t>All the Above</w:t>
      </w:r>
    </w:p>
    <w:p w14:paraId="416C53B6" w14:textId="77777777" w:rsidR="00E365F4" w:rsidRPr="00E365F4" w:rsidRDefault="00E365F4" w:rsidP="00E01150">
      <w:pPr>
        <w:rPr>
          <w:rFonts w:eastAsiaTheme="minorHAnsi"/>
          <w:lang w:eastAsia="en-US"/>
        </w:rPr>
      </w:pPr>
    </w:p>
    <w:p w14:paraId="73D43E43" w14:textId="349B5458" w:rsidR="00E365F4" w:rsidRPr="00CD27BD" w:rsidRDefault="00E365F4" w:rsidP="00E01150">
      <w:pPr>
        <w:pStyle w:val="ListParagraph"/>
        <w:numPr>
          <w:ilvl w:val="0"/>
          <w:numId w:val="16"/>
        </w:numPr>
        <w:spacing w:after="160" w:line="259" w:lineRule="auto"/>
      </w:pPr>
      <w:r w:rsidRPr="00CD27BD">
        <w:t>You’ve deduced that a certain plan in your model is a Dosimetric Outlier.  Which options are available to you?</w:t>
      </w:r>
    </w:p>
    <w:p w14:paraId="306585AE" w14:textId="77777777" w:rsidR="00E365F4" w:rsidRPr="00E365F4" w:rsidRDefault="00E365F4" w:rsidP="00E01150">
      <w:pPr>
        <w:numPr>
          <w:ilvl w:val="0"/>
          <w:numId w:val="14"/>
        </w:numPr>
        <w:rPr>
          <w:rFonts w:eastAsiaTheme="minorHAnsi"/>
          <w:lang w:eastAsia="en-US"/>
        </w:rPr>
      </w:pPr>
      <w:proofErr w:type="spellStart"/>
      <w:r w:rsidRPr="00E365F4">
        <w:rPr>
          <w:rFonts w:eastAsiaTheme="minorHAnsi"/>
          <w:lang w:eastAsia="en-US"/>
        </w:rPr>
        <w:t>Replan</w:t>
      </w:r>
      <w:proofErr w:type="spellEnd"/>
      <w:r w:rsidRPr="00E365F4">
        <w:rPr>
          <w:rFonts w:eastAsiaTheme="minorHAnsi"/>
          <w:lang w:eastAsia="en-US"/>
        </w:rPr>
        <w:t xml:space="preserve"> and see if the new plan improves model</w:t>
      </w:r>
    </w:p>
    <w:p w14:paraId="41C62912" w14:textId="77777777" w:rsidR="00E365F4" w:rsidRPr="00E365F4" w:rsidRDefault="00E365F4" w:rsidP="00E01150">
      <w:pPr>
        <w:numPr>
          <w:ilvl w:val="0"/>
          <w:numId w:val="14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Remove the outlier plan/structure</w:t>
      </w:r>
    </w:p>
    <w:p w14:paraId="6A226E9A" w14:textId="77777777" w:rsidR="00E365F4" w:rsidRPr="00E365F4" w:rsidRDefault="00E365F4" w:rsidP="00E01150">
      <w:pPr>
        <w:numPr>
          <w:ilvl w:val="0"/>
          <w:numId w:val="14"/>
        </w:numPr>
        <w:rPr>
          <w:rFonts w:eastAsiaTheme="minorHAnsi"/>
          <w:lang w:eastAsia="en-US"/>
        </w:rPr>
      </w:pPr>
      <w:r w:rsidRPr="00E365F4">
        <w:rPr>
          <w:rFonts w:eastAsiaTheme="minorHAnsi"/>
          <w:lang w:eastAsia="en-US"/>
        </w:rPr>
        <w:t>Leave it in</w:t>
      </w:r>
    </w:p>
    <w:p w14:paraId="45FA0CB2" w14:textId="77777777" w:rsidR="00E365F4" w:rsidRPr="00D61B83" w:rsidRDefault="00E365F4" w:rsidP="00E01150">
      <w:pPr>
        <w:numPr>
          <w:ilvl w:val="0"/>
          <w:numId w:val="14"/>
        </w:numPr>
        <w:rPr>
          <w:rFonts w:eastAsiaTheme="minorHAnsi"/>
          <w:color w:val="000000" w:themeColor="text1"/>
          <w:lang w:eastAsia="en-US"/>
        </w:rPr>
      </w:pPr>
      <w:r w:rsidRPr="00D61B83">
        <w:rPr>
          <w:rFonts w:eastAsiaTheme="minorHAnsi"/>
          <w:color w:val="000000" w:themeColor="text1"/>
          <w:lang w:eastAsia="en-US"/>
        </w:rPr>
        <w:t>All the Above</w:t>
      </w:r>
    </w:p>
    <w:p w14:paraId="24C5E115" w14:textId="77777777" w:rsidR="00E365F4" w:rsidRPr="00E365F4" w:rsidRDefault="00E365F4" w:rsidP="00E365F4">
      <w:pPr>
        <w:rPr>
          <w:rFonts w:eastAsiaTheme="minorHAnsi"/>
          <w:lang w:eastAsia="en-US"/>
        </w:rPr>
      </w:pPr>
    </w:p>
    <w:p w14:paraId="0302EAE7" w14:textId="77777777" w:rsidR="00F62FE2" w:rsidRDefault="005127D0"/>
    <w:sectPr w:rsidR="00F62FE2" w:rsidSect="00C639E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3E5"/>
    <w:multiLevelType w:val="hybridMultilevel"/>
    <w:tmpl w:val="DB9434C4"/>
    <w:lvl w:ilvl="0" w:tplc="B01C9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94A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5227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3E687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D88F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ACD9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1E85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0079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B44A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D9D5A50"/>
    <w:multiLevelType w:val="hybridMultilevel"/>
    <w:tmpl w:val="E63E5A26"/>
    <w:lvl w:ilvl="0" w:tplc="C35428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8F24450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E0007E8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BC9642AA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25CF680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5598411C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1EE6BFCE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FCA6179E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6DF6E138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B5931A5"/>
    <w:multiLevelType w:val="hybridMultilevel"/>
    <w:tmpl w:val="C876E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13A6"/>
    <w:multiLevelType w:val="hybridMultilevel"/>
    <w:tmpl w:val="AD8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6700"/>
    <w:multiLevelType w:val="hybridMultilevel"/>
    <w:tmpl w:val="9684DA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723CC"/>
    <w:multiLevelType w:val="hybridMultilevel"/>
    <w:tmpl w:val="A5EAAA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65957"/>
    <w:multiLevelType w:val="hybridMultilevel"/>
    <w:tmpl w:val="2F28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02AE"/>
    <w:multiLevelType w:val="hybridMultilevel"/>
    <w:tmpl w:val="E39EBA48"/>
    <w:lvl w:ilvl="0" w:tplc="D56E55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B002F40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D92FA42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40CEA0F8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8764034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61021600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678A9A36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80C69D46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32D69696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E363ACC"/>
    <w:multiLevelType w:val="hybridMultilevel"/>
    <w:tmpl w:val="9684DA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26549"/>
    <w:multiLevelType w:val="hybridMultilevel"/>
    <w:tmpl w:val="1D5EF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A120D"/>
    <w:multiLevelType w:val="hybridMultilevel"/>
    <w:tmpl w:val="61A8C0AE"/>
    <w:lvl w:ilvl="0" w:tplc="1444D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944B3D"/>
    <w:multiLevelType w:val="hybridMultilevel"/>
    <w:tmpl w:val="61A8C0AE"/>
    <w:lvl w:ilvl="0" w:tplc="1444D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981FEE"/>
    <w:multiLevelType w:val="hybridMultilevel"/>
    <w:tmpl w:val="69FC5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01BED"/>
    <w:multiLevelType w:val="hybridMultilevel"/>
    <w:tmpl w:val="2F28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81243"/>
    <w:multiLevelType w:val="hybridMultilevel"/>
    <w:tmpl w:val="740A07BC"/>
    <w:lvl w:ilvl="0" w:tplc="5F406F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E420D4"/>
    <w:multiLevelType w:val="hybridMultilevel"/>
    <w:tmpl w:val="2620E8DA"/>
    <w:lvl w:ilvl="0" w:tplc="787E08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C36F2CC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EC024CA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DAA22944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30EE398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01EE54C0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B5947D18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8E605A30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504A7BC0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4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0"/>
    <w:rsid w:val="000E5801"/>
    <w:rsid w:val="00201C08"/>
    <w:rsid w:val="003A6FC6"/>
    <w:rsid w:val="004E5068"/>
    <w:rsid w:val="005127D0"/>
    <w:rsid w:val="006B4BE2"/>
    <w:rsid w:val="00C11583"/>
    <w:rsid w:val="00CC40D1"/>
    <w:rsid w:val="00CD27BD"/>
    <w:rsid w:val="00D61B83"/>
    <w:rsid w:val="00E01150"/>
    <w:rsid w:val="00E24759"/>
    <w:rsid w:val="00E365F4"/>
    <w:rsid w:val="00E409A8"/>
    <w:rsid w:val="00F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6E40"/>
  <w15:chartTrackingRefBased/>
  <w15:docId w15:val="{D1FCBD85-FE07-475B-93E3-A9ABCFC7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1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uiPriority w:val="99"/>
    <w:semiHidden/>
    <w:unhideWhenUsed/>
    <w:rsid w:val="00F26010"/>
    <w:rPr>
      <w:color w:val="0000FF"/>
      <w:u w:val="single"/>
    </w:rPr>
  </w:style>
  <w:style w:type="paragraph" w:customStyle="1" w:styleId="Default">
    <w:name w:val="Default"/>
    <w:rsid w:val="00E247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acm2.12161" TargetMode="External"/><Relationship Id="rId5" Type="http://schemas.openxmlformats.org/officeDocument/2006/relationships/hyperlink" Target="https://doi.org/10.1002/acm2.12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Aba Mensah-Brown</dc:creator>
  <cp:keywords/>
  <dc:description/>
  <cp:lastModifiedBy>Abby Besemer</cp:lastModifiedBy>
  <cp:revision>12</cp:revision>
  <dcterms:created xsi:type="dcterms:W3CDTF">2021-04-08T18:47:00Z</dcterms:created>
  <dcterms:modified xsi:type="dcterms:W3CDTF">2021-04-08T22:19:00Z</dcterms:modified>
</cp:coreProperties>
</file>